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03A64" w14:textId="77777777" w:rsidR="00D72D5B" w:rsidRPr="00501BF9" w:rsidRDefault="00D72D5B" w:rsidP="00D72D5B">
      <w:pPr>
        <w:pStyle w:val="Opisslike"/>
        <w:rPr>
          <w:rFonts w:ascii="Arial" w:hAnsi="Arial" w:cs="Arial"/>
        </w:rPr>
      </w:pPr>
    </w:p>
    <w:p w14:paraId="109CCED8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36"/>
          <w:lang w:val="hr-HR"/>
        </w:rPr>
      </w:pPr>
      <w:r>
        <w:rPr>
          <w:rFonts w:ascii="Arial" w:hAnsi="Arial" w:cs="Arial"/>
          <w:b/>
          <w:color w:val="333399"/>
          <w:sz w:val="36"/>
          <w:lang w:val="hr-HR"/>
        </w:rPr>
        <w:t>DOM ZDRAVLJA VARAŽDINSKE ŽUPANIJE</w:t>
      </w:r>
    </w:p>
    <w:p w14:paraId="6AB7F701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36"/>
          <w:lang w:val="hr-HR"/>
        </w:rPr>
      </w:pPr>
    </w:p>
    <w:p w14:paraId="2E8BC698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36"/>
          <w:lang w:val="hr-HR"/>
        </w:rPr>
      </w:pPr>
    </w:p>
    <w:p w14:paraId="434E77E8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36"/>
          <w:lang w:val="hr-HR"/>
        </w:rPr>
      </w:pPr>
    </w:p>
    <w:p w14:paraId="345ACC15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36"/>
          <w:lang w:val="hr-HR"/>
        </w:rPr>
      </w:pPr>
      <w:r w:rsidRPr="00501BF9">
        <w:rPr>
          <w:rFonts w:ascii="Arial" w:hAnsi="Arial" w:cs="Arial"/>
          <w:b/>
          <w:color w:val="333399"/>
          <w:sz w:val="36"/>
          <w:lang w:val="hr-HR"/>
        </w:rPr>
        <w:t xml:space="preserve"> </w:t>
      </w:r>
    </w:p>
    <w:p w14:paraId="1A542270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36"/>
          <w:lang w:val="hr-HR"/>
        </w:rPr>
      </w:pPr>
    </w:p>
    <w:p w14:paraId="28B9F03D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36"/>
          <w:lang w:val="hr-HR"/>
        </w:rPr>
      </w:pPr>
    </w:p>
    <w:p w14:paraId="00422DEE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36"/>
          <w:lang w:val="hr-HR"/>
        </w:rPr>
      </w:pPr>
    </w:p>
    <w:p w14:paraId="05E8A7CE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36"/>
          <w:lang w:val="hr-HR"/>
        </w:rPr>
      </w:pPr>
    </w:p>
    <w:p w14:paraId="497A40FC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36"/>
          <w:lang w:val="hr-HR"/>
        </w:rPr>
      </w:pPr>
    </w:p>
    <w:p w14:paraId="721BDFC4" w14:textId="77777777" w:rsidR="00D72D5B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40"/>
          <w:szCs w:val="40"/>
          <w:lang w:val="hr-HR"/>
        </w:rPr>
      </w:pPr>
      <w:r w:rsidRPr="00F805CF">
        <w:rPr>
          <w:rFonts w:ascii="Arial" w:hAnsi="Arial" w:cs="Arial"/>
          <w:b/>
          <w:color w:val="333399"/>
          <w:sz w:val="40"/>
          <w:szCs w:val="40"/>
          <w:lang w:val="hr-HR"/>
        </w:rPr>
        <w:t>OBRAZLOŽENJE OPĆEG DIJELA</w:t>
      </w:r>
      <w:r>
        <w:rPr>
          <w:rFonts w:ascii="Arial" w:hAnsi="Arial" w:cs="Arial"/>
          <w:b/>
          <w:color w:val="333399"/>
          <w:sz w:val="40"/>
          <w:szCs w:val="40"/>
          <w:lang w:val="hr-HR"/>
        </w:rPr>
        <w:t xml:space="preserve"> </w:t>
      </w:r>
    </w:p>
    <w:p w14:paraId="3264628E" w14:textId="77777777" w:rsidR="00D72D5B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40"/>
          <w:szCs w:val="40"/>
          <w:lang w:val="hr-HR"/>
        </w:rPr>
      </w:pPr>
      <w:r>
        <w:rPr>
          <w:rFonts w:ascii="Arial" w:hAnsi="Arial" w:cs="Arial"/>
          <w:b/>
          <w:color w:val="333399"/>
          <w:sz w:val="40"/>
          <w:szCs w:val="40"/>
          <w:lang w:val="hr-HR"/>
        </w:rPr>
        <w:t>I POSEBNI IZVJEŠTAJI</w:t>
      </w:r>
    </w:p>
    <w:p w14:paraId="5025C145" w14:textId="77777777" w:rsidR="00D72D5B" w:rsidRPr="00F805CF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40"/>
          <w:szCs w:val="40"/>
          <w:lang w:val="hr-HR"/>
        </w:rPr>
      </w:pPr>
    </w:p>
    <w:p w14:paraId="53744C2E" w14:textId="1EE44C7B" w:rsidR="00D72D5B" w:rsidRPr="00F805CF" w:rsidRDefault="007B5F9A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36"/>
          <w:szCs w:val="36"/>
          <w:lang w:val="hr-HR"/>
        </w:rPr>
      </w:pPr>
      <w:r>
        <w:rPr>
          <w:rFonts w:ascii="Arial" w:hAnsi="Arial" w:cs="Arial"/>
          <w:b/>
          <w:color w:val="333399"/>
          <w:sz w:val="36"/>
          <w:szCs w:val="36"/>
          <w:lang w:val="hr-HR"/>
        </w:rPr>
        <w:t>PO</w:t>
      </w:r>
      <w:r w:rsidR="00D72D5B" w:rsidRPr="00F805CF">
        <w:rPr>
          <w:rFonts w:ascii="Arial" w:hAnsi="Arial" w:cs="Arial"/>
          <w:b/>
          <w:color w:val="333399"/>
          <w:sz w:val="36"/>
          <w:szCs w:val="36"/>
          <w:lang w:val="hr-HR"/>
        </w:rPr>
        <w:t>GODIŠNJEG IZVJEŠTAJA O IZVRŠENJU</w:t>
      </w:r>
    </w:p>
    <w:p w14:paraId="2F9B71EE" w14:textId="77777777" w:rsidR="00D72D5B" w:rsidRPr="00F805CF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36"/>
          <w:szCs w:val="36"/>
          <w:lang w:val="hr-HR"/>
        </w:rPr>
      </w:pPr>
      <w:r w:rsidRPr="00F805CF">
        <w:rPr>
          <w:rFonts w:ascii="Arial" w:hAnsi="Arial" w:cs="Arial"/>
          <w:b/>
          <w:color w:val="333399"/>
          <w:sz w:val="36"/>
          <w:szCs w:val="36"/>
          <w:lang w:val="hr-HR"/>
        </w:rPr>
        <w:t xml:space="preserve"> </w:t>
      </w:r>
      <w:r>
        <w:rPr>
          <w:rFonts w:ascii="Arial" w:hAnsi="Arial" w:cs="Arial"/>
          <w:b/>
          <w:color w:val="333399"/>
          <w:sz w:val="36"/>
          <w:szCs w:val="36"/>
          <w:lang w:val="hr-HR"/>
        </w:rPr>
        <w:t>FINANCIJSKOG PLANA</w:t>
      </w:r>
    </w:p>
    <w:p w14:paraId="796E7C8B" w14:textId="1AC36347" w:rsidR="00D72D5B" w:rsidRPr="00F805CF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36"/>
          <w:szCs w:val="36"/>
          <w:lang w:val="hr-HR"/>
        </w:rPr>
      </w:pPr>
      <w:r w:rsidRPr="00F805CF">
        <w:rPr>
          <w:rFonts w:ascii="Arial" w:hAnsi="Arial" w:cs="Arial"/>
          <w:b/>
          <w:color w:val="333399"/>
          <w:sz w:val="36"/>
          <w:szCs w:val="36"/>
          <w:lang w:val="hr-HR"/>
        </w:rPr>
        <w:t>ZA 202</w:t>
      </w:r>
      <w:r w:rsidR="007B5F9A">
        <w:rPr>
          <w:rFonts w:ascii="Arial" w:hAnsi="Arial" w:cs="Arial"/>
          <w:b/>
          <w:color w:val="333399"/>
          <w:sz w:val="36"/>
          <w:szCs w:val="36"/>
          <w:lang w:val="hr-HR"/>
        </w:rPr>
        <w:t>4</w:t>
      </w:r>
      <w:r w:rsidRPr="00F805CF">
        <w:rPr>
          <w:rFonts w:ascii="Arial" w:hAnsi="Arial" w:cs="Arial"/>
          <w:b/>
          <w:color w:val="333399"/>
          <w:sz w:val="36"/>
          <w:szCs w:val="36"/>
          <w:lang w:val="hr-HR"/>
        </w:rPr>
        <w:t>. GODINU</w:t>
      </w:r>
    </w:p>
    <w:p w14:paraId="1EACCC78" w14:textId="77777777" w:rsidR="00D72D5B" w:rsidRPr="00F805CF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lang w:val="hr-HR"/>
        </w:rPr>
      </w:pPr>
    </w:p>
    <w:p w14:paraId="662CE7B1" w14:textId="77777777" w:rsidR="00D72D5B" w:rsidRPr="00F805CF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lang w:val="hr-HR"/>
        </w:rPr>
      </w:pPr>
    </w:p>
    <w:p w14:paraId="63C151CE" w14:textId="77777777" w:rsidR="00D72D5B" w:rsidRPr="00F805CF" w:rsidRDefault="00D72D5B" w:rsidP="00D72D5B">
      <w:pPr>
        <w:pStyle w:val="Zaglavlje"/>
        <w:tabs>
          <w:tab w:val="clear" w:pos="4153"/>
          <w:tab w:val="clear" w:pos="8306"/>
          <w:tab w:val="left" w:pos="453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lang w:val="hr-HR"/>
        </w:rPr>
      </w:pPr>
    </w:p>
    <w:p w14:paraId="0A6C4A3E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7768F068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0FDBB55A" w14:textId="77777777" w:rsidR="00D72D5B" w:rsidRPr="00501BF9" w:rsidRDefault="00D72D5B" w:rsidP="00D72D5B">
      <w:pPr>
        <w:pStyle w:val="Zaglavlje"/>
        <w:tabs>
          <w:tab w:val="clear" w:pos="4153"/>
          <w:tab w:val="clear" w:pos="8306"/>
          <w:tab w:val="left" w:pos="6375"/>
        </w:tabs>
        <w:overflowPunct/>
        <w:autoSpaceDE/>
        <w:autoSpaceDN/>
        <w:adjustRightInd/>
        <w:textAlignment w:val="auto"/>
        <w:rPr>
          <w:rFonts w:ascii="Arial" w:hAnsi="Arial" w:cs="Arial"/>
          <w:b/>
          <w:color w:val="333399"/>
          <w:sz w:val="24"/>
          <w:lang w:val="hr-HR"/>
        </w:rPr>
      </w:pPr>
      <w:r>
        <w:rPr>
          <w:rFonts w:ascii="Arial" w:hAnsi="Arial" w:cs="Arial"/>
          <w:b/>
          <w:color w:val="333399"/>
          <w:sz w:val="24"/>
          <w:lang w:val="hr-HR"/>
        </w:rPr>
        <w:tab/>
      </w:r>
    </w:p>
    <w:p w14:paraId="7AC90300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0C8517E1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68F1D665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20BAE1B8" w14:textId="77777777" w:rsidR="00D72D5B" w:rsidRPr="00501BF9" w:rsidRDefault="00D72D5B" w:rsidP="00D72D5B">
      <w:pPr>
        <w:rPr>
          <w:rFonts w:ascii="Arial" w:hAnsi="Arial" w:cs="Arial"/>
          <w:color w:val="333399"/>
        </w:rPr>
      </w:pPr>
    </w:p>
    <w:p w14:paraId="3C722171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0179BE7A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368CFA4E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596B4DB7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04914073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53621C85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75ED029D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208A3B3F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720F9D40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5C109762" w14:textId="77777777" w:rsidR="00D72D5B" w:rsidRPr="00501BF9" w:rsidRDefault="00D72D5B" w:rsidP="00D72D5B">
      <w:pPr>
        <w:pStyle w:val="Zaglavlje"/>
        <w:tabs>
          <w:tab w:val="clear" w:pos="4153"/>
          <w:tab w:val="clear" w:pos="8306"/>
        </w:tabs>
        <w:overflowPunct/>
        <w:autoSpaceDE/>
        <w:autoSpaceDN/>
        <w:adjustRightInd/>
        <w:jc w:val="center"/>
        <w:textAlignment w:val="auto"/>
        <w:rPr>
          <w:rFonts w:ascii="Arial" w:hAnsi="Arial" w:cs="Arial"/>
          <w:b/>
          <w:color w:val="333399"/>
          <w:sz w:val="24"/>
          <w:lang w:val="hr-HR"/>
        </w:rPr>
      </w:pPr>
    </w:p>
    <w:p w14:paraId="038C839D" w14:textId="77777777" w:rsidR="00D72D5B" w:rsidRDefault="00D72D5B" w:rsidP="00D72D5B">
      <w:pPr>
        <w:jc w:val="center"/>
        <w:rPr>
          <w:rFonts w:ascii="Arial" w:hAnsi="Arial" w:cs="Arial"/>
          <w:color w:val="333399"/>
        </w:rPr>
        <w:sectPr w:rsidR="00D72D5B" w:rsidSect="00291A5A">
          <w:footerReference w:type="default" r:id="rId8"/>
          <w:footerReference w:type="first" r:id="rId9"/>
          <w:pgSz w:w="11906" w:h="16838" w:code="9"/>
          <w:pgMar w:top="1418" w:right="1418" w:bottom="1418" w:left="1418" w:header="709" w:footer="454" w:gutter="0"/>
          <w:cols w:space="708"/>
          <w:titlePg/>
          <w:docGrid w:linePitch="360"/>
        </w:sectPr>
      </w:pPr>
      <w:r w:rsidRPr="00501BF9">
        <w:rPr>
          <w:rFonts w:ascii="Arial" w:hAnsi="Arial" w:cs="Arial"/>
          <w:color w:val="333399"/>
        </w:rPr>
        <w:t>Varaždin, 202</w:t>
      </w:r>
      <w:r>
        <w:rPr>
          <w:rFonts w:ascii="Arial" w:hAnsi="Arial" w:cs="Arial"/>
          <w:color w:val="333399"/>
        </w:rPr>
        <w:t>4.</w:t>
      </w:r>
    </w:p>
    <w:p w14:paraId="40A1DEEC" w14:textId="77777777" w:rsidR="00D72D5B" w:rsidRDefault="00D72D5B" w:rsidP="00D72D5B">
      <w:pPr>
        <w:tabs>
          <w:tab w:val="left" w:pos="1830"/>
        </w:tabs>
        <w:rPr>
          <w:rFonts w:ascii="Arial" w:hAnsi="Arial" w:cs="Arial"/>
          <w:color w:val="333399"/>
        </w:rPr>
      </w:pPr>
    </w:p>
    <w:p w14:paraId="1CF1E91D" w14:textId="77777777" w:rsidR="00D72D5B" w:rsidRPr="00572CC1" w:rsidRDefault="00D72D5B" w:rsidP="00D72D5B">
      <w:pPr>
        <w:tabs>
          <w:tab w:val="left" w:pos="1830"/>
        </w:tabs>
        <w:rPr>
          <w:rFonts w:ascii="Arial" w:hAnsi="Arial" w:cs="Arial"/>
        </w:rPr>
        <w:sectPr w:rsidR="00D72D5B" w:rsidRPr="00572CC1" w:rsidSect="00291A5A">
          <w:pgSz w:w="11906" w:h="16838" w:code="9"/>
          <w:pgMar w:top="1418" w:right="1418" w:bottom="1418" w:left="1418" w:header="709" w:footer="454" w:gutter="0"/>
          <w:cols w:space="708"/>
          <w:titlePg/>
          <w:docGrid w:linePitch="360"/>
        </w:sectPr>
      </w:pPr>
      <w:r>
        <w:rPr>
          <w:rFonts w:ascii="Arial" w:hAnsi="Arial" w:cs="Arial"/>
        </w:rPr>
        <w:tab/>
      </w:r>
    </w:p>
    <w:p w14:paraId="0788CE29" w14:textId="77777777" w:rsidR="00D72D5B" w:rsidRPr="00501BF9" w:rsidRDefault="00D72D5B" w:rsidP="00D72D5B">
      <w:pPr>
        <w:jc w:val="center"/>
        <w:rPr>
          <w:rFonts w:ascii="Arial" w:hAnsi="Arial" w:cs="Arial"/>
          <w:b/>
          <w:color w:val="333399"/>
          <w:sz w:val="28"/>
          <w:szCs w:val="28"/>
        </w:rPr>
      </w:pPr>
      <w:r w:rsidRPr="00501BF9">
        <w:rPr>
          <w:rFonts w:ascii="Arial" w:hAnsi="Arial" w:cs="Arial"/>
          <w:b/>
          <w:color w:val="333399"/>
          <w:sz w:val="28"/>
          <w:szCs w:val="28"/>
        </w:rPr>
        <w:lastRenderedPageBreak/>
        <w:t>SADRŽAJ</w:t>
      </w:r>
    </w:p>
    <w:p w14:paraId="2659BF75" w14:textId="77777777" w:rsidR="00D72D5B" w:rsidRPr="00501BF9" w:rsidRDefault="00D72D5B" w:rsidP="00D72D5B">
      <w:pPr>
        <w:rPr>
          <w:rFonts w:ascii="Arial" w:hAnsi="Arial" w:cs="Arial"/>
          <w:lang w:eastAsia="hr-HR"/>
        </w:rPr>
      </w:pPr>
    </w:p>
    <w:p w14:paraId="5C12A6B2" w14:textId="77777777" w:rsidR="00D72D5B" w:rsidRPr="00501BF9" w:rsidRDefault="00D72D5B" w:rsidP="00D72D5B">
      <w:pPr>
        <w:rPr>
          <w:rFonts w:ascii="Arial" w:hAnsi="Arial" w:cs="Arial"/>
          <w:lang w:eastAsia="hr-HR"/>
        </w:rPr>
      </w:pPr>
    </w:p>
    <w:p w14:paraId="2D31DC1F" w14:textId="52F39AB0" w:rsidR="007549FC" w:rsidRDefault="00D72D5B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hr-HR"/>
          <w14:ligatures w14:val="standardContextual"/>
        </w:rPr>
      </w:pPr>
      <w:r w:rsidRPr="00B03827">
        <w:rPr>
          <w:rFonts w:ascii="Arial" w:hAnsi="Arial" w:cs="Arial"/>
          <w:sz w:val="22"/>
          <w:szCs w:val="22"/>
          <w:lang w:eastAsia="hr-HR"/>
        </w:rPr>
        <w:fldChar w:fldCharType="begin"/>
      </w:r>
      <w:r w:rsidRPr="00B03827">
        <w:rPr>
          <w:rFonts w:ascii="Arial" w:hAnsi="Arial" w:cs="Arial"/>
          <w:sz w:val="22"/>
          <w:szCs w:val="22"/>
          <w:lang w:eastAsia="hr-HR"/>
        </w:rPr>
        <w:instrText xml:space="preserve"> TOC \o "1-3" \h \z \u </w:instrText>
      </w:r>
      <w:r w:rsidRPr="00B03827">
        <w:rPr>
          <w:rFonts w:ascii="Arial" w:hAnsi="Arial" w:cs="Arial"/>
          <w:sz w:val="22"/>
          <w:szCs w:val="22"/>
          <w:lang w:eastAsia="hr-HR"/>
        </w:rPr>
        <w:fldChar w:fldCharType="separate"/>
      </w:r>
      <w:hyperlink w:anchor="_Toc172785189" w:history="1">
        <w:r w:rsidR="007549FC" w:rsidRPr="00170F08">
          <w:rPr>
            <w:rStyle w:val="Hiperveza"/>
            <w:rFonts w:ascii="Arial" w:hAnsi="Arial" w:cs="Arial"/>
            <w:noProof/>
          </w:rPr>
          <w:t>1.</w:t>
        </w:r>
        <w:r w:rsidR="007549F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="007549FC" w:rsidRPr="00170F08">
          <w:rPr>
            <w:rStyle w:val="Hiperveza"/>
            <w:rFonts w:ascii="Arial" w:hAnsi="Arial" w:cs="Arial"/>
            <w:noProof/>
          </w:rPr>
          <w:t>U V O D</w:t>
        </w:r>
        <w:r w:rsidR="007549FC">
          <w:rPr>
            <w:noProof/>
            <w:webHidden/>
          </w:rPr>
          <w:tab/>
        </w:r>
        <w:r w:rsidR="007549FC">
          <w:rPr>
            <w:noProof/>
            <w:webHidden/>
          </w:rPr>
          <w:fldChar w:fldCharType="begin"/>
        </w:r>
        <w:r w:rsidR="007549FC">
          <w:rPr>
            <w:noProof/>
            <w:webHidden/>
          </w:rPr>
          <w:instrText xml:space="preserve"> PAGEREF _Toc172785189 \h </w:instrText>
        </w:r>
        <w:r w:rsidR="007549FC">
          <w:rPr>
            <w:noProof/>
            <w:webHidden/>
          </w:rPr>
        </w:r>
        <w:r w:rsidR="007549FC">
          <w:rPr>
            <w:noProof/>
            <w:webHidden/>
          </w:rPr>
          <w:fldChar w:fldCharType="separate"/>
        </w:r>
        <w:r w:rsidR="007549FC">
          <w:rPr>
            <w:noProof/>
            <w:webHidden/>
          </w:rPr>
          <w:t>1</w:t>
        </w:r>
        <w:r w:rsidR="007549FC">
          <w:rPr>
            <w:noProof/>
            <w:webHidden/>
          </w:rPr>
          <w:fldChar w:fldCharType="end"/>
        </w:r>
      </w:hyperlink>
    </w:p>
    <w:p w14:paraId="6CD669F9" w14:textId="082A14BE" w:rsidR="007549FC" w:rsidRDefault="007549FC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hr-HR"/>
          <w14:ligatures w14:val="standardContextual"/>
        </w:rPr>
      </w:pPr>
      <w:hyperlink w:anchor="_Toc172785190" w:history="1">
        <w:r w:rsidRPr="00170F08">
          <w:rPr>
            <w:rStyle w:val="Hiperveza"/>
            <w:rFonts w:ascii="Arial" w:hAnsi="Arial"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Pr="00170F08">
          <w:rPr>
            <w:rStyle w:val="Hiperveza"/>
            <w:rFonts w:ascii="Arial" w:hAnsi="Arial" w:cs="Arial"/>
            <w:noProof/>
          </w:rPr>
          <w:t>PRIHODI I PRIMICI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_Toc172785190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8AC780E" w14:textId="355AE85F" w:rsidR="007549FC" w:rsidRDefault="007549FC">
      <w:pPr>
        <w:pStyle w:val="Sadraj2"/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:lang w:eastAsia="hr-HR"/>
          <w14:ligatures w14:val="standardContextual"/>
        </w:rPr>
      </w:pPr>
      <w:hyperlink w:anchor="_Toc172785191" w:history="1">
        <w:r w:rsidRPr="00170F08">
          <w:rPr>
            <w:rStyle w:val="Hiperveza"/>
            <w:rFonts w:ascii="Arial" w:hAnsi="Arial" w:cs="Arial"/>
            <w:noProof/>
          </w:rPr>
          <w:t>2.1. STANJE NOVČANIH SREDSTAVA NA RAČUNU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_Toc172785191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B86A202" w14:textId="3339CB62" w:rsidR="007549FC" w:rsidRDefault="007549FC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hr-HR"/>
          <w14:ligatures w14:val="standardContextual"/>
        </w:rPr>
      </w:pPr>
      <w:hyperlink w:anchor="_Toc172785192" w:history="1">
        <w:r w:rsidRPr="00170F08">
          <w:rPr>
            <w:rStyle w:val="Hiperveza"/>
            <w:rFonts w:ascii="Arial" w:hAnsi="Arial"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Pr="00170F08">
          <w:rPr>
            <w:rStyle w:val="Hiperveza"/>
            <w:rFonts w:ascii="Arial" w:hAnsi="Arial" w:cs="Arial"/>
            <w:noProof/>
          </w:rPr>
          <w:t>RASHODI I IZDACI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_Toc172785192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701D003" w14:textId="3E9454C5" w:rsidR="007549FC" w:rsidRDefault="007549FC">
      <w:pPr>
        <w:pStyle w:val="Sadraj2"/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:lang w:eastAsia="hr-HR"/>
          <w14:ligatures w14:val="standardContextual"/>
        </w:rPr>
      </w:pPr>
      <w:hyperlink w:anchor="_Toc172785193" w:history="1">
        <w:r w:rsidRPr="00170F08">
          <w:rPr>
            <w:rStyle w:val="Hiperveza"/>
            <w:rFonts w:ascii="Arial" w:hAnsi="Arial" w:cs="Arial"/>
            <w:noProof/>
          </w:rPr>
          <w:t>3.1. RASHODI ZA ZAPOSLENE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_Toc172785193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B95E027" w14:textId="1D272759" w:rsidR="007549FC" w:rsidRDefault="007549FC">
      <w:pPr>
        <w:pStyle w:val="Sadraj2"/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:lang w:eastAsia="hr-HR"/>
          <w14:ligatures w14:val="standardContextual"/>
        </w:rPr>
      </w:pPr>
      <w:hyperlink w:anchor="_Toc172785194" w:history="1">
        <w:r w:rsidRPr="00170F08">
          <w:rPr>
            <w:rStyle w:val="Hiperveza"/>
            <w:rFonts w:ascii="Arial" w:hAnsi="Arial" w:cs="Arial"/>
            <w:noProof/>
          </w:rPr>
          <w:t>3.2. MATERIJALNI RASHODI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_Toc172785194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FC50293" w14:textId="4F10166B" w:rsidR="007549FC" w:rsidRDefault="007549FC">
      <w:pPr>
        <w:pStyle w:val="Sadraj2"/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:lang w:eastAsia="hr-HR"/>
          <w14:ligatures w14:val="standardContextual"/>
        </w:rPr>
      </w:pPr>
      <w:hyperlink w:anchor="_Toc172785195" w:history="1">
        <w:r w:rsidRPr="00170F08">
          <w:rPr>
            <w:rStyle w:val="Hiperveza"/>
            <w:rFonts w:ascii="Arial" w:hAnsi="Arial" w:cs="Arial"/>
            <w:noProof/>
          </w:rPr>
          <w:t>3.3. FINANCIJSKI RASHODI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_Toc172785195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400830A" w14:textId="69587938" w:rsidR="007549FC" w:rsidRDefault="007549FC">
      <w:pPr>
        <w:pStyle w:val="Sadraj2"/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:lang w:eastAsia="hr-HR"/>
          <w14:ligatures w14:val="standardContextual"/>
        </w:rPr>
      </w:pPr>
      <w:hyperlink w:anchor="_Toc172785196" w:history="1">
        <w:r w:rsidRPr="00170F08">
          <w:rPr>
            <w:rStyle w:val="Hiperveza"/>
            <w:rFonts w:ascii="Arial" w:hAnsi="Arial" w:cs="Arial"/>
            <w:noProof/>
          </w:rPr>
          <w:t>3.4. SUBVENCIJE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_Toc172785196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2AFF4F8" w14:textId="6A9B8001" w:rsidR="007549FC" w:rsidRDefault="007549FC">
      <w:pPr>
        <w:pStyle w:val="Sadraj2"/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:lang w:eastAsia="hr-HR"/>
          <w14:ligatures w14:val="standardContextual"/>
        </w:rPr>
      </w:pPr>
      <w:hyperlink w:anchor="_Toc172785197" w:history="1">
        <w:r w:rsidRPr="00170F08">
          <w:rPr>
            <w:rStyle w:val="Hiperveza"/>
            <w:rFonts w:ascii="Arial" w:hAnsi="Arial" w:cs="Arial"/>
            <w:noProof/>
          </w:rPr>
          <w:t>3.5. POMOĆI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_Toc172785197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3559BE0" w14:textId="597E3A2F" w:rsidR="007549FC" w:rsidRDefault="007549FC">
      <w:pPr>
        <w:pStyle w:val="Sadraj2"/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:lang w:eastAsia="hr-HR"/>
          <w14:ligatures w14:val="standardContextual"/>
        </w:rPr>
      </w:pPr>
      <w:hyperlink w:anchor="_Toc172785198" w:history="1">
        <w:r w:rsidRPr="00170F08">
          <w:rPr>
            <w:rStyle w:val="Hiperveza"/>
            <w:rFonts w:ascii="Arial" w:hAnsi="Arial" w:cs="Arial"/>
            <w:noProof/>
          </w:rPr>
          <w:t>3.6. NAKNADE GRAĐANIMA I KUĆANSTVIMA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_Toc172785198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6498252" w14:textId="1C0ED9E9" w:rsidR="007549FC" w:rsidRDefault="007549FC">
      <w:pPr>
        <w:pStyle w:val="Sadraj2"/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:lang w:eastAsia="hr-HR"/>
          <w14:ligatures w14:val="standardContextual"/>
        </w:rPr>
      </w:pPr>
      <w:hyperlink w:anchor="_Toc172785199" w:history="1">
        <w:r w:rsidRPr="00170F08">
          <w:rPr>
            <w:rStyle w:val="Hiperveza"/>
            <w:rFonts w:ascii="Arial" w:hAnsi="Arial" w:cs="Arial"/>
            <w:noProof/>
          </w:rPr>
          <w:t>3.7. OSTALI RASHODI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_Toc172785199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D194221" w14:textId="09D288AB" w:rsidR="007549FC" w:rsidRDefault="007549FC">
      <w:pPr>
        <w:pStyle w:val="Sadraj2"/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:lang w:eastAsia="hr-HR"/>
          <w14:ligatures w14:val="standardContextual"/>
        </w:rPr>
      </w:pPr>
      <w:hyperlink w:anchor="_Toc172785200" w:history="1">
        <w:r w:rsidRPr="00170F08">
          <w:rPr>
            <w:rStyle w:val="Hiperveza"/>
            <w:rFonts w:ascii="Arial" w:hAnsi="Arial" w:cs="Arial"/>
            <w:noProof/>
          </w:rPr>
          <w:t>3.8. RASHODI ZA NABAVU NEFINANCIJSKE IMOVINE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_Toc172785200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0ACA9F" w14:textId="06420058" w:rsidR="007549FC" w:rsidRDefault="007549FC">
      <w:pPr>
        <w:pStyle w:val="Sadraj2"/>
        <w:rPr>
          <w:rFonts w:asciiTheme="minorHAnsi" w:eastAsiaTheme="minorEastAsia" w:hAnsiTheme="minorHAnsi" w:cstheme="minorBidi"/>
          <w:smallCaps w:val="0"/>
          <w:noProof/>
          <w:kern w:val="2"/>
          <w:sz w:val="22"/>
          <w:szCs w:val="22"/>
          <w:lang w:eastAsia="hr-HR"/>
          <w14:ligatures w14:val="standardContextual"/>
        </w:rPr>
      </w:pPr>
      <w:hyperlink w:anchor="_Toc172785201" w:history="1">
        <w:r w:rsidRPr="00170F08">
          <w:rPr>
            <w:rStyle w:val="Hiperveza"/>
            <w:rFonts w:ascii="Arial" w:hAnsi="Arial" w:cs="Arial"/>
            <w:noProof/>
          </w:rPr>
          <w:t>3.9. IZDACI ZA FINANCIJSKU IMOVINU I OTPLATE ZAJMOVA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_Toc172785201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20C1F6A" w14:textId="74751DEF" w:rsidR="007549FC" w:rsidRDefault="007549FC">
      <w:pPr>
        <w:pStyle w:val="Sadraj1"/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2"/>
          <w:szCs w:val="22"/>
          <w:lang w:eastAsia="hr-HR"/>
          <w14:ligatures w14:val="standardContextual"/>
        </w:rPr>
      </w:pPr>
      <w:hyperlink w:anchor="_Toc172785202" w:history="1">
        <w:r w:rsidRPr="00170F08">
          <w:rPr>
            <w:rStyle w:val="Hiperveza"/>
            <w:rFonts w:ascii="Arial" w:hAnsi="Arial"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2"/>
            <w:szCs w:val="22"/>
            <w:lang w:eastAsia="hr-HR"/>
            <w14:ligatures w14:val="standardContextual"/>
          </w:rPr>
          <w:tab/>
        </w:r>
        <w:r w:rsidRPr="00170F08">
          <w:rPr>
            <w:rStyle w:val="Hiperveza"/>
            <w:rFonts w:ascii="Arial" w:hAnsi="Arial" w:cs="Arial"/>
            <w:noProof/>
          </w:rPr>
          <w:t>IZVJEŠTAJ O ZADUŽIVANJU NA DOMAĆEM I STRANOM TRŽIŠTU NOVCA I KAPITALA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_Toc172785202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B5A073D" w14:textId="261DDD55" w:rsidR="00D72D5B" w:rsidRPr="00572CC1" w:rsidRDefault="00D72D5B" w:rsidP="00D72D5B">
      <w:pPr>
        <w:pStyle w:val="Sadraj1"/>
        <w:tabs>
          <w:tab w:val="clear" w:pos="480"/>
          <w:tab w:val="clear" w:pos="9060"/>
          <w:tab w:val="left" w:pos="3465"/>
          <w:tab w:val="left" w:pos="6165"/>
        </w:tabs>
        <w:ind w:left="0" w:firstLine="0"/>
        <w:rPr>
          <w:rFonts w:ascii="Arial" w:hAnsi="Arial" w:cs="Arial"/>
          <w:sz w:val="22"/>
          <w:szCs w:val="22"/>
          <w:lang w:eastAsia="hr-HR"/>
        </w:rPr>
        <w:sectPr w:rsidR="00D72D5B" w:rsidRPr="00572CC1" w:rsidSect="00291A5A">
          <w:footerReference w:type="default" r:id="rId10"/>
          <w:footerReference w:type="first" r:id="rId11"/>
          <w:pgSz w:w="11906" w:h="16838" w:code="9"/>
          <w:pgMar w:top="1418" w:right="1418" w:bottom="1418" w:left="1418" w:header="709" w:footer="454" w:gutter="0"/>
          <w:pgNumType w:start="0" w:chapStyle="1"/>
          <w:cols w:space="708"/>
          <w:titlePg/>
          <w:docGrid w:linePitch="360"/>
        </w:sectPr>
      </w:pPr>
      <w:r w:rsidRPr="00B03827">
        <w:rPr>
          <w:rFonts w:ascii="Arial" w:hAnsi="Arial" w:cs="Arial"/>
          <w:sz w:val="22"/>
          <w:szCs w:val="22"/>
          <w:lang w:eastAsia="hr-HR"/>
        </w:rPr>
        <w:fldChar w:fldCharType="end"/>
      </w:r>
      <w:r>
        <w:rPr>
          <w:lang w:eastAsia="hr-HR"/>
        </w:rPr>
        <w:tab/>
      </w:r>
      <w:r>
        <w:rPr>
          <w:lang w:eastAsia="hr-HR"/>
        </w:rPr>
        <w:tab/>
      </w:r>
    </w:p>
    <w:p w14:paraId="27D493A4" w14:textId="77777777" w:rsidR="00D72D5B" w:rsidRPr="00501BF9" w:rsidRDefault="00D72D5B" w:rsidP="00D72D5B">
      <w:pPr>
        <w:pStyle w:val="Naslov1"/>
        <w:numPr>
          <w:ilvl w:val="0"/>
          <w:numId w:val="1"/>
        </w:numPr>
        <w:ind w:left="709" w:hanging="709"/>
        <w:rPr>
          <w:rFonts w:ascii="Arial" w:hAnsi="Arial" w:cs="Arial"/>
          <w:i w:val="0"/>
        </w:rPr>
      </w:pPr>
      <w:bookmarkStart w:id="0" w:name="_Toc172785189"/>
      <w:r w:rsidRPr="00501BF9">
        <w:rPr>
          <w:rFonts w:ascii="Arial" w:hAnsi="Arial" w:cs="Arial"/>
          <w:i w:val="0"/>
        </w:rPr>
        <w:lastRenderedPageBreak/>
        <w:t>U V O D</w:t>
      </w:r>
      <w:bookmarkEnd w:id="0"/>
    </w:p>
    <w:p w14:paraId="2130C44F" w14:textId="77777777" w:rsidR="00D72D5B" w:rsidRPr="00501BF9" w:rsidRDefault="00D72D5B" w:rsidP="00D72D5B">
      <w:pPr>
        <w:rPr>
          <w:rFonts w:ascii="Arial" w:hAnsi="Arial" w:cs="Arial"/>
          <w:lang w:eastAsia="hr-HR"/>
        </w:rPr>
      </w:pPr>
    </w:p>
    <w:p w14:paraId="66E7DA59" w14:textId="3E23E484" w:rsidR="00D72D5B" w:rsidRPr="00501BF9" w:rsidRDefault="00D72D5B" w:rsidP="00D72D5B">
      <w:pPr>
        <w:spacing w:line="360" w:lineRule="auto"/>
        <w:jc w:val="both"/>
        <w:rPr>
          <w:rFonts w:ascii="Arial" w:hAnsi="Arial" w:cs="Arial"/>
        </w:rPr>
      </w:pPr>
      <w:r w:rsidRPr="00501BF9">
        <w:rPr>
          <w:rFonts w:ascii="Arial" w:hAnsi="Arial" w:cs="Arial"/>
        </w:rPr>
        <w:t xml:space="preserve">Sadržaj </w:t>
      </w:r>
      <w:r w:rsidR="007B5F9A">
        <w:rPr>
          <w:rFonts w:ascii="Arial" w:hAnsi="Arial" w:cs="Arial"/>
        </w:rPr>
        <w:t>polu</w:t>
      </w:r>
      <w:r w:rsidRPr="00501BF9">
        <w:rPr>
          <w:rFonts w:ascii="Arial" w:hAnsi="Arial" w:cs="Arial"/>
        </w:rPr>
        <w:t xml:space="preserve">godišnjeg izvještaja o izvršenju </w:t>
      </w:r>
      <w:r>
        <w:rPr>
          <w:rFonts w:ascii="Arial" w:hAnsi="Arial" w:cs="Arial"/>
        </w:rPr>
        <w:t>financijskog plana</w:t>
      </w:r>
      <w:r w:rsidRPr="00501BF9">
        <w:rPr>
          <w:rFonts w:ascii="Arial" w:hAnsi="Arial" w:cs="Arial"/>
        </w:rPr>
        <w:t xml:space="preserve"> propisan je Pravilnikom o polugodišnjem i godišnjem izvještaju o izvršenju proračuna </w:t>
      </w:r>
      <w:r>
        <w:rPr>
          <w:rFonts w:ascii="Arial" w:hAnsi="Arial" w:cs="Arial"/>
        </w:rPr>
        <w:t xml:space="preserve">i financijskog plana </w:t>
      </w:r>
      <w:r w:rsidRPr="00501BF9">
        <w:rPr>
          <w:rFonts w:ascii="Arial" w:hAnsi="Arial" w:cs="Arial"/>
        </w:rPr>
        <w:t xml:space="preserve">(Narodne novine br. </w:t>
      </w:r>
      <w:r>
        <w:rPr>
          <w:rFonts w:ascii="Arial" w:hAnsi="Arial" w:cs="Arial"/>
        </w:rPr>
        <w:t>85</w:t>
      </w:r>
      <w:r w:rsidRPr="00501BF9">
        <w:rPr>
          <w:rFonts w:ascii="Arial" w:hAnsi="Arial" w:cs="Arial"/>
        </w:rPr>
        <w:t>/2</w:t>
      </w:r>
      <w:r>
        <w:rPr>
          <w:rFonts w:ascii="Arial" w:hAnsi="Arial" w:cs="Arial"/>
        </w:rPr>
        <w:t>3</w:t>
      </w:r>
      <w:r w:rsidRPr="00501BF9">
        <w:rPr>
          <w:rFonts w:ascii="Arial" w:hAnsi="Arial" w:cs="Arial"/>
        </w:rPr>
        <w:t xml:space="preserve">), a osnovna svrha ovog izvještaja je dati informacije o: </w:t>
      </w:r>
    </w:p>
    <w:p w14:paraId="67B06564" w14:textId="77777777" w:rsidR="00D72D5B" w:rsidRPr="00501BF9" w:rsidRDefault="00D72D5B" w:rsidP="00D72D5B">
      <w:pPr>
        <w:numPr>
          <w:ilvl w:val="0"/>
          <w:numId w:val="2"/>
        </w:numPr>
        <w:spacing w:after="60" w:line="360" w:lineRule="auto"/>
        <w:ind w:left="510" w:firstLine="0"/>
        <w:jc w:val="both"/>
        <w:rPr>
          <w:rFonts w:ascii="Arial" w:hAnsi="Arial" w:cs="Arial"/>
        </w:rPr>
      </w:pPr>
      <w:r w:rsidRPr="00501BF9">
        <w:rPr>
          <w:rFonts w:ascii="Arial" w:hAnsi="Arial" w:cs="Arial"/>
        </w:rPr>
        <w:t>planiranim i ostvarenim/izvršenim prihodima i primicima</w:t>
      </w:r>
      <w:r>
        <w:rPr>
          <w:rFonts w:ascii="Arial" w:hAnsi="Arial" w:cs="Arial"/>
        </w:rPr>
        <w:t>/</w:t>
      </w:r>
      <w:r w:rsidRPr="00501BF9">
        <w:rPr>
          <w:rFonts w:ascii="Arial" w:hAnsi="Arial" w:cs="Arial"/>
        </w:rPr>
        <w:t>rashodima i izdacima,</w:t>
      </w:r>
    </w:p>
    <w:p w14:paraId="752E9E18" w14:textId="75090A11" w:rsidR="00D72D5B" w:rsidRPr="00EA6DB0" w:rsidRDefault="00D72D5B" w:rsidP="00D72D5B">
      <w:pPr>
        <w:numPr>
          <w:ilvl w:val="0"/>
          <w:numId w:val="2"/>
        </w:numPr>
        <w:spacing w:after="120" w:line="360" w:lineRule="auto"/>
        <w:ind w:left="510" w:firstLine="0"/>
        <w:jc w:val="both"/>
        <w:rPr>
          <w:rFonts w:ascii="Arial" w:hAnsi="Arial" w:cs="Arial"/>
        </w:rPr>
      </w:pPr>
      <w:r w:rsidRPr="00EA6DB0">
        <w:rPr>
          <w:rFonts w:ascii="Arial" w:hAnsi="Arial" w:cs="Arial"/>
        </w:rPr>
        <w:t>prenesenom manjku odnosno višku iz prethodne godine</w:t>
      </w:r>
      <w:r w:rsidR="002517FD">
        <w:rPr>
          <w:rFonts w:ascii="Arial" w:hAnsi="Arial" w:cs="Arial"/>
        </w:rPr>
        <w:t>.</w:t>
      </w:r>
    </w:p>
    <w:p w14:paraId="1873E6B9" w14:textId="4F6B1654" w:rsidR="00D72D5B" w:rsidRPr="00EA6DB0" w:rsidRDefault="00D72D5B" w:rsidP="00D72D5B">
      <w:pPr>
        <w:spacing w:line="360" w:lineRule="auto"/>
        <w:jc w:val="both"/>
        <w:rPr>
          <w:rFonts w:ascii="Arial" w:hAnsi="Arial" w:cs="Arial"/>
        </w:rPr>
      </w:pPr>
      <w:r w:rsidRPr="00501BF9">
        <w:rPr>
          <w:rFonts w:ascii="Arial" w:hAnsi="Arial" w:cs="Arial"/>
        </w:rPr>
        <w:t xml:space="preserve">Sukladno navedenom, sadržaj </w:t>
      </w:r>
      <w:r w:rsidR="007B5F9A">
        <w:rPr>
          <w:rFonts w:ascii="Arial" w:hAnsi="Arial" w:cs="Arial"/>
        </w:rPr>
        <w:t>polu</w:t>
      </w:r>
      <w:r w:rsidRPr="00501BF9">
        <w:rPr>
          <w:rFonts w:ascii="Arial" w:hAnsi="Arial" w:cs="Arial"/>
        </w:rPr>
        <w:t xml:space="preserve">godišnjeg izvještaja o izvršenju </w:t>
      </w:r>
      <w:r>
        <w:rPr>
          <w:rFonts w:ascii="Arial" w:hAnsi="Arial" w:cs="Arial"/>
        </w:rPr>
        <w:t>financijskog plana</w:t>
      </w:r>
      <w:r w:rsidRPr="00501BF9">
        <w:rPr>
          <w:rFonts w:ascii="Arial" w:hAnsi="Arial" w:cs="Arial"/>
        </w:rPr>
        <w:t xml:space="preserve">, osim prikaza ukupno ostvarenih </w:t>
      </w:r>
      <w:r w:rsidRPr="009D6A56">
        <w:rPr>
          <w:rFonts w:ascii="Arial" w:hAnsi="Arial" w:cs="Arial"/>
        </w:rPr>
        <w:t>prihoda</w:t>
      </w:r>
      <w:r>
        <w:rPr>
          <w:rFonts w:ascii="Arial" w:hAnsi="Arial" w:cs="Arial"/>
        </w:rPr>
        <w:t xml:space="preserve">, </w:t>
      </w:r>
      <w:r w:rsidRPr="00501BF9">
        <w:rPr>
          <w:rFonts w:ascii="Arial" w:hAnsi="Arial" w:cs="Arial"/>
        </w:rPr>
        <w:t>te izvršenih rashoda i izdataka na razini odjeljka ekonomske klasifikacije</w:t>
      </w:r>
      <w:r>
        <w:rPr>
          <w:rFonts w:ascii="Arial" w:hAnsi="Arial" w:cs="Arial"/>
        </w:rPr>
        <w:t xml:space="preserve"> i prema izvorima financiranja te rashoda po funkcijskoj klasifikaciji</w:t>
      </w:r>
      <w:r w:rsidRPr="00501BF9">
        <w:rPr>
          <w:rFonts w:ascii="Arial" w:hAnsi="Arial" w:cs="Arial"/>
        </w:rPr>
        <w:t xml:space="preserve"> (</w:t>
      </w:r>
      <w:r w:rsidRPr="00362D93">
        <w:rPr>
          <w:rFonts w:ascii="Arial" w:hAnsi="Arial" w:cs="Arial"/>
          <w:b/>
          <w:bCs/>
        </w:rPr>
        <w:t>Opći dio</w:t>
      </w:r>
      <w:r w:rsidRPr="00501BF9">
        <w:rPr>
          <w:rFonts w:ascii="Arial" w:hAnsi="Arial" w:cs="Arial"/>
        </w:rPr>
        <w:t xml:space="preserve">), uključujući njihovu raspodjelu po programskoj klasifikaciji u </w:t>
      </w:r>
      <w:r w:rsidRPr="00362D93">
        <w:rPr>
          <w:rFonts w:ascii="Arial" w:hAnsi="Arial" w:cs="Arial"/>
          <w:b/>
          <w:bCs/>
        </w:rPr>
        <w:t>Posebnom dijelu</w:t>
      </w:r>
      <w:r w:rsidRPr="00501BF9">
        <w:rPr>
          <w:rFonts w:ascii="Arial" w:hAnsi="Arial" w:cs="Arial"/>
        </w:rPr>
        <w:t xml:space="preserve"> proračuna,</w:t>
      </w:r>
      <w:r>
        <w:rPr>
          <w:rFonts w:ascii="Arial" w:hAnsi="Arial" w:cs="Arial"/>
        </w:rPr>
        <w:t xml:space="preserve"> uz </w:t>
      </w:r>
      <w:r w:rsidRPr="00362D93">
        <w:rPr>
          <w:rFonts w:ascii="Arial" w:hAnsi="Arial" w:cs="Arial"/>
          <w:b/>
          <w:bCs/>
        </w:rPr>
        <w:t>obrazloženje</w:t>
      </w:r>
      <w:r w:rsidRPr="00501BF9">
        <w:rPr>
          <w:rFonts w:ascii="Arial" w:hAnsi="Arial" w:cs="Arial"/>
        </w:rPr>
        <w:t xml:space="preserve"> ostvarenja prihoda i primitaka te izvršenja rashoda i izdataka čin</w:t>
      </w:r>
      <w:r w:rsidR="002517FD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i </w:t>
      </w:r>
      <w:r w:rsidRPr="00362D93">
        <w:rPr>
          <w:rFonts w:ascii="Arial" w:hAnsi="Arial" w:cs="Arial"/>
          <w:b/>
          <w:bCs/>
        </w:rPr>
        <w:t>posebni izvještaj</w:t>
      </w:r>
      <w:r w:rsidR="002517FD">
        <w:rPr>
          <w:rFonts w:ascii="Arial" w:hAnsi="Arial" w:cs="Arial"/>
          <w:b/>
          <w:bCs/>
        </w:rPr>
        <w:t xml:space="preserve"> </w:t>
      </w:r>
      <w:r w:rsidR="002517FD" w:rsidRPr="002517FD">
        <w:rPr>
          <w:rFonts w:ascii="Arial" w:hAnsi="Arial" w:cs="Arial"/>
        </w:rPr>
        <w:t>-</w:t>
      </w:r>
      <w:r w:rsidRPr="00501B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izvještaj o zaduživanju na domaćem i stranom tržištu novca i kapitala</w:t>
      </w:r>
      <w:r w:rsidR="002517FD">
        <w:rPr>
          <w:rFonts w:ascii="Arial" w:hAnsi="Arial" w:cs="Arial"/>
        </w:rPr>
        <w:t>.</w:t>
      </w:r>
    </w:p>
    <w:p w14:paraId="5758557C" w14:textId="27EA099C" w:rsidR="00D72D5B" w:rsidRPr="00EA6DB0" w:rsidRDefault="00D72D5B" w:rsidP="00D72D5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       </w:t>
      </w:r>
      <w:r w:rsidRPr="00EA6DB0">
        <w:rPr>
          <w:rFonts w:ascii="Arial" w:hAnsi="Arial" w:cs="Arial"/>
          <w:bCs/>
        </w:rPr>
        <w:t xml:space="preserve">Prijedlog </w:t>
      </w:r>
      <w:r>
        <w:rPr>
          <w:rFonts w:ascii="Arial" w:hAnsi="Arial" w:cs="Arial"/>
          <w:bCs/>
        </w:rPr>
        <w:t>F</w:t>
      </w:r>
      <w:r w:rsidRPr="00EA6DB0">
        <w:rPr>
          <w:rFonts w:ascii="Arial" w:hAnsi="Arial" w:cs="Arial"/>
          <w:bCs/>
        </w:rPr>
        <w:t>inancijskog plana Doma zdravlja Varaždinske županije za 202</w:t>
      </w:r>
      <w:r w:rsidR="002517FD">
        <w:rPr>
          <w:rFonts w:ascii="Arial" w:hAnsi="Arial" w:cs="Arial"/>
          <w:bCs/>
        </w:rPr>
        <w:t>4</w:t>
      </w:r>
      <w:r w:rsidRPr="00EA6DB0">
        <w:rPr>
          <w:rFonts w:ascii="Arial" w:hAnsi="Arial" w:cs="Arial"/>
          <w:bCs/>
        </w:rPr>
        <w:t xml:space="preserve">. godinu (dalje u tekstu: Financijski plan) usvojilo je  upravno vijeće na sjednici održanoj </w:t>
      </w:r>
      <w:r w:rsidR="002517FD">
        <w:rPr>
          <w:rFonts w:ascii="Arial" w:hAnsi="Arial" w:cs="Arial"/>
          <w:bCs/>
        </w:rPr>
        <w:t>26</w:t>
      </w:r>
      <w:r w:rsidRPr="00EA6DB0">
        <w:rPr>
          <w:rFonts w:ascii="Arial" w:hAnsi="Arial" w:cs="Arial"/>
          <w:bCs/>
        </w:rPr>
        <w:t>.10.202</w:t>
      </w:r>
      <w:r w:rsidR="002517FD">
        <w:rPr>
          <w:rFonts w:ascii="Arial" w:hAnsi="Arial" w:cs="Arial"/>
          <w:bCs/>
        </w:rPr>
        <w:t>3</w:t>
      </w:r>
      <w:r w:rsidRPr="00EA6DB0">
        <w:rPr>
          <w:rFonts w:ascii="Arial" w:hAnsi="Arial" w:cs="Arial"/>
          <w:bCs/>
        </w:rPr>
        <w:t>. godine</w:t>
      </w:r>
      <w:r>
        <w:rPr>
          <w:rFonts w:ascii="Arial" w:hAnsi="Arial" w:cs="Arial"/>
          <w:bCs/>
        </w:rPr>
        <w:t xml:space="preserve"> ( prihodi i primici </w:t>
      </w:r>
      <w:r w:rsidRPr="00EA6DB0">
        <w:rPr>
          <w:rFonts w:ascii="Arial" w:hAnsi="Arial" w:cs="Arial"/>
          <w:bCs/>
        </w:rPr>
        <w:t xml:space="preserve">u iznosu od </w:t>
      </w:r>
      <w:r w:rsidR="002517FD">
        <w:rPr>
          <w:rFonts w:ascii="Arial" w:hAnsi="Arial" w:cs="Arial"/>
          <w:bCs/>
        </w:rPr>
        <w:t>7.</w:t>
      </w:r>
      <w:r w:rsidRPr="00EA6DB0">
        <w:rPr>
          <w:rFonts w:ascii="Arial" w:hAnsi="Arial" w:cs="Arial"/>
          <w:bCs/>
        </w:rPr>
        <w:t>2</w:t>
      </w:r>
      <w:r w:rsidR="002517FD">
        <w:rPr>
          <w:rFonts w:ascii="Arial" w:hAnsi="Arial" w:cs="Arial"/>
          <w:bCs/>
        </w:rPr>
        <w:t>95</w:t>
      </w:r>
      <w:r w:rsidRPr="00EA6DB0">
        <w:rPr>
          <w:rFonts w:ascii="Arial" w:hAnsi="Arial" w:cs="Arial"/>
          <w:bCs/>
        </w:rPr>
        <w:t>.</w:t>
      </w:r>
      <w:r w:rsidR="002517FD">
        <w:rPr>
          <w:rFonts w:ascii="Arial" w:hAnsi="Arial" w:cs="Arial"/>
          <w:bCs/>
        </w:rPr>
        <w:t>813</w:t>
      </w:r>
      <w:r w:rsidRPr="00EA6DB0">
        <w:rPr>
          <w:rFonts w:ascii="Arial" w:hAnsi="Arial" w:cs="Arial"/>
          <w:bCs/>
        </w:rPr>
        <w:t xml:space="preserve"> eura</w:t>
      </w:r>
      <w:r>
        <w:rPr>
          <w:rFonts w:ascii="Arial" w:hAnsi="Arial" w:cs="Arial"/>
          <w:bCs/>
        </w:rPr>
        <w:t xml:space="preserve">, rashodi i izdaci u iznosu od </w:t>
      </w:r>
      <w:r w:rsidR="002517FD"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>.</w:t>
      </w:r>
      <w:r w:rsidR="002517FD">
        <w:rPr>
          <w:rFonts w:ascii="Arial" w:hAnsi="Arial" w:cs="Arial"/>
          <w:bCs/>
        </w:rPr>
        <w:t>202</w:t>
      </w:r>
      <w:r>
        <w:rPr>
          <w:rFonts w:ascii="Arial" w:hAnsi="Arial" w:cs="Arial"/>
          <w:bCs/>
        </w:rPr>
        <w:t>.</w:t>
      </w:r>
      <w:r w:rsidR="002517FD">
        <w:rPr>
          <w:rFonts w:ascii="Arial" w:hAnsi="Arial" w:cs="Arial"/>
          <w:bCs/>
        </w:rPr>
        <w:t>813</w:t>
      </w:r>
      <w:r>
        <w:rPr>
          <w:rFonts w:ascii="Arial" w:hAnsi="Arial" w:cs="Arial"/>
          <w:bCs/>
        </w:rPr>
        <w:t xml:space="preserve"> eura, višak prihoda u iznosu od </w:t>
      </w:r>
      <w:r w:rsidR="002517FD">
        <w:rPr>
          <w:rFonts w:ascii="Arial" w:hAnsi="Arial" w:cs="Arial"/>
          <w:bCs/>
        </w:rPr>
        <w:t>93</w:t>
      </w:r>
      <w:r>
        <w:rPr>
          <w:rFonts w:ascii="Arial" w:hAnsi="Arial" w:cs="Arial"/>
          <w:bCs/>
        </w:rPr>
        <w:t>.</w:t>
      </w:r>
      <w:r w:rsidR="002517FD">
        <w:rPr>
          <w:rFonts w:ascii="Arial" w:hAnsi="Arial" w:cs="Arial"/>
          <w:bCs/>
        </w:rPr>
        <w:t>000</w:t>
      </w:r>
      <w:r>
        <w:rPr>
          <w:rFonts w:ascii="Arial" w:hAnsi="Arial" w:cs="Arial"/>
          <w:bCs/>
        </w:rPr>
        <w:t xml:space="preserve"> eura), a potvrdila ga je Županijska skupština Varaždinske županije na svojoj sjednici održanoj 29.11.202</w:t>
      </w:r>
      <w:r w:rsidR="00F330A1">
        <w:rPr>
          <w:rFonts w:ascii="Arial" w:hAnsi="Arial" w:cs="Arial"/>
          <w:bCs/>
        </w:rPr>
        <w:t>3</w:t>
      </w:r>
      <w:r>
        <w:rPr>
          <w:rFonts w:ascii="Arial" w:hAnsi="Arial" w:cs="Arial"/>
          <w:bCs/>
        </w:rPr>
        <w:t>. godine.</w:t>
      </w:r>
      <w:r w:rsidRPr="00EA6DB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Prijedlog financijskog pla</w:t>
      </w:r>
      <w:r w:rsidR="00F330A1">
        <w:rPr>
          <w:rFonts w:ascii="Arial" w:hAnsi="Arial" w:cs="Arial"/>
        </w:rPr>
        <w:t>na ob</w:t>
      </w:r>
      <w:r>
        <w:rPr>
          <w:rFonts w:ascii="Arial" w:hAnsi="Arial" w:cs="Arial"/>
        </w:rPr>
        <w:t xml:space="preserve">javljen </w:t>
      </w:r>
      <w:r w:rsidR="00F330A1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 xml:space="preserve">na mrežnim stranicama Doma zdravlja Varaždinske županije </w:t>
      </w:r>
      <w:r w:rsidRPr="00EA6DB0">
        <w:rPr>
          <w:rFonts w:ascii="Arial" w:hAnsi="Arial" w:cs="Arial"/>
        </w:rPr>
        <w:t>(www.dzvz.hr).</w:t>
      </w:r>
      <w:r w:rsidRPr="00EA6DB0">
        <w:rPr>
          <w:rFonts w:ascii="Arial" w:hAnsi="Arial" w:cs="Arial"/>
          <w:highlight w:val="yellow"/>
        </w:rPr>
        <w:t xml:space="preserve"> </w:t>
      </w:r>
    </w:p>
    <w:p w14:paraId="72D464B7" w14:textId="77777777" w:rsidR="00D72D5B" w:rsidRDefault="00D72D5B" w:rsidP="00D72D5B">
      <w:pPr>
        <w:spacing w:line="360" w:lineRule="auto"/>
        <w:jc w:val="both"/>
        <w:rPr>
          <w:rFonts w:ascii="Arial" w:hAnsi="Arial" w:cs="Arial"/>
        </w:rPr>
      </w:pPr>
    </w:p>
    <w:p w14:paraId="5928A52F" w14:textId="77777777" w:rsidR="00D72D5B" w:rsidRDefault="00D72D5B" w:rsidP="00D72D5B">
      <w:pPr>
        <w:spacing w:line="360" w:lineRule="auto"/>
        <w:jc w:val="both"/>
        <w:rPr>
          <w:rFonts w:ascii="Arial" w:hAnsi="Arial" w:cs="Arial"/>
        </w:rPr>
      </w:pPr>
      <w:r w:rsidRPr="00C43A70">
        <w:rPr>
          <w:rFonts w:ascii="Arial" w:hAnsi="Arial" w:cs="Arial"/>
        </w:rPr>
        <w:t xml:space="preserve">Sažetak Računa prihoda i rashoda te Računa financiranja s </w:t>
      </w:r>
      <w:r>
        <w:rPr>
          <w:rFonts w:ascii="Arial" w:hAnsi="Arial" w:cs="Arial"/>
        </w:rPr>
        <w:t xml:space="preserve">prenesenim manjkom </w:t>
      </w:r>
      <w:r w:rsidRPr="00C43A70">
        <w:rPr>
          <w:rFonts w:ascii="Arial" w:hAnsi="Arial" w:cs="Arial"/>
        </w:rPr>
        <w:t xml:space="preserve"> iz prethodnih godina dan je u </w:t>
      </w:r>
      <w:r w:rsidRPr="00C43A70">
        <w:rPr>
          <w:rFonts w:ascii="Arial" w:hAnsi="Arial" w:cs="Arial"/>
          <w:b/>
        </w:rPr>
        <w:t>Tablici 1</w:t>
      </w:r>
      <w:r w:rsidRPr="00C43A70">
        <w:rPr>
          <w:rFonts w:ascii="Arial" w:hAnsi="Arial" w:cs="Arial"/>
        </w:rPr>
        <w:t xml:space="preserve"> usporedno s izvršenjem prethodnih godina.</w:t>
      </w:r>
    </w:p>
    <w:p w14:paraId="599D2B03" w14:textId="77777777" w:rsidR="00D65160" w:rsidRDefault="00D65160" w:rsidP="00D72D5B">
      <w:pPr>
        <w:spacing w:line="360" w:lineRule="auto"/>
        <w:jc w:val="both"/>
        <w:rPr>
          <w:rFonts w:ascii="Arial" w:hAnsi="Arial" w:cs="Arial"/>
        </w:rPr>
      </w:pPr>
    </w:p>
    <w:p w14:paraId="6383EED8" w14:textId="77777777" w:rsidR="00D65160" w:rsidRDefault="00D65160" w:rsidP="00D72D5B">
      <w:pPr>
        <w:spacing w:line="360" w:lineRule="auto"/>
        <w:jc w:val="both"/>
        <w:rPr>
          <w:rFonts w:ascii="Arial" w:hAnsi="Arial" w:cs="Arial"/>
        </w:rPr>
      </w:pPr>
    </w:p>
    <w:p w14:paraId="50A56A62" w14:textId="77777777" w:rsidR="00D65160" w:rsidRDefault="00D65160" w:rsidP="00D72D5B">
      <w:pPr>
        <w:spacing w:line="360" w:lineRule="auto"/>
        <w:jc w:val="both"/>
        <w:rPr>
          <w:rFonts w:ascii="Arial" w:hAnsi="Arial" w:cs="Arial"/>
        </w:rPr>
      </w:pPr>
    </w:p>
    <w:p w14:paraId="10774CA9" w14:textId="77777777" w:rsidR="00D65160" w:rsidRDefault="00D65160" w:rsidP="00D72D5B">
      <w:pPr>
        <w:spacing w:line="360" w:lineRule="auto"/>
        <w:jc w:val="both"/>
        <w:rPr>
          <w:rFonts w:ascii="Arial" w:hAnsi="Arial" w:cs="Arial"/>
        </w:rPr>
      </w:pPr>
    </w:p>
    <w:p w14:paraId="50222845" w14:textId="77777777" w:rsidR="00D65160" w:rsidRDefault="00D65160" w:rsidP="00D72D5B">
      <w:pPr>
        <w:spacing w:line="360" w:lineRule="auto"/>
        <w:jc w:val="both"/>
        <w:rPr>
          <w:rFonts w:ascii="Arial" w:hAnsi="Arial" w:cs="Arial"/>
        </w:rPr>
      </w:pPr>
    </w:p>
    <w:p w14:paraId="61850661" w14:textId="77777777" w:rsidR="00D65160" w:rsidRDefault="00D65160" w:rsidP="00D72D5B">
      <w:pPr>
        <w:spacing w:line="360" w:lineRule="auto"/>
        <w:jc w:val="both"/>
        <w:rPr>
          <w:rFonts w:ascii="Arial" w:hAnsi="Arial" w:cs="Arial"/>
        </w:rPr>
      </w:pPr>
    </w:p>
    <w:p w14:paraId="4640F62E" w14:textId="77777777" w:rsidR="00D65160" w:rsidRDefault="00D65160" w:rsidP="00D72D5B">
      <w:pPr>
        <w:spacing w:line="360" w:lineRule="auto"/>
        <w:jc w:val="both"/>
        <w:rPr>
          <w:rFonts w:ascii="Arial" w:hAnsi="Arial" w:cs="Arial"/>
        </w:rPr>
      </w:pPr>
    </w:p>
    <w:p w14:paraId="05807D29" w14:textId="77777777" w:rsidR="00D65160" w:rsidRDefault="00D65160" w:rsidP="00D72D5B">
      <w:pPr>
        <w:spacing w:line="360" w:lineRule="auto"/>
        <w:jc w:val="both"/>
        <w:rPr>
          <w:rFonts w:ascii="Arial" w:hAnsi="Arial" w:cs="Arial"/>
        </w:rPr>
      </w:pPr>
    </w:p>
    <w:p w14:paraId="2EE6A2E8" w14:textId="77777777" w:rsidR="00D65160" w:rsidRDefault="00D65160" w:rsidP="00D72D5B">
      <w:pPr>
        <w:spacing w:line="360" w:lineRule="auto"/>
        <w:jc w:val="both"/>
        <w:rPr>
          <w:rFonts w:ascii="Arial" w:hAnsi="Arial" w:cs="Arial"/>
        </w:rPr>
      </w:pPr>
    </w:p>
    <w:p w14:paraId="0427C770" w14:textId="77777777" w:rsidR="00D65160" w:rsidRPr="00C43A70" w:rsidRDefault="00D65160" w:rsidP="00D72D5B">
      <w:pPr>
        <w:spacing w:line="360" w:lineRule="auto"/>
        <w:jc w:val="both"/>
        <w:rPr>
          <w:rFonts w:ascii="Arial" w:hAnsi="Arial" w:cs="Arial"/>
        </w:rPr>
      </w:pPr>
    </w:p>
    <w:p w14:paraId="0755DAB6" w14:textId="77777777" w:rsidR="00D72D5B" w:rsidRDefault="00D72D5B" w:rsidP="00D72D5B">
      <w:pPr>
        <w:spacing w:line="0" w:lineRule="atLeast"/>
        <w:jc w:val="both"/>
        <w:rPr>
          <w:rFonts w:ascii="Arial" w:hAnsi="Arial" w:cs="Arial"/>
          <w:i/>
        </w:rPr>
      </w:pPr>
      <w:r w:rsidRPr="00545F52">
        <w:rPr>
          <w:rFonts w:ascii="Arial" w:hAnsi="Arial" w:cs="Arial"/>
          <w:b/>
          <w:i/>
        </w:rPr>
        <w:lastRenderedPageBreak/>
        <w:t>Tablica 1</w:t>
      </w:r>
      <w:r w:rsidRPr="00545F52">
        <w:rPr>
          <w:rFonts w:ascii="Arial" w:hAnsi="Arial" w:cs="Arial"/>
          <w:i/>
        </w:rPr>
        <w:t>: Sažetak A. Računa prihoda i rashoda i B. Računa financiranja</w:t>
      </w:r>
    </w:p>
    <w:p w14:paraId="492080BD" w14:textId="77777777" w:rsidR="00126F6D" w:rsidRDefault="00126F6D" w:rsidP="00D72D5B">
      <w:pPr>
        <w:spacing w:line="0" w:lineRule="atLeast"/>
        <w:jc w:val="both"/>
        <w:rPr>
          <w:rFonts w:ascii="Arial" w:hAnsi="Arial" w:cs="Arial"/>
          <w:i/>
        </w:rPr>
      </w:pPr>
    </w:p>
    <w:p w14:paraId="1A27A4E2" w14:textId="77777777" w:rsidR="009005DB" w:rsidRDefault="009005DB" w:rsidP="00D72D5B">
      <w:pPr>
        <w:spacing w:line="0" w:lineRule="atLeast"/>
        <w:jc w:val="both"/>
        <w:rPr>
          <w:rFonts w:ascii="Arial" w:hAnsi="Arial" w:cs="Arial"/>
          <w:i/>
        </w:rPr>
      </w:pPr>
    </w:p>
    <w:p w14:paraId="5C755E68" w14:textId="77777777" w:rsidR="00126F6D" w:rsidRPr="00545F52" w:rsidRDefault="00126F6D" w:rsidP="00D72D5B">
      <w:pPr>
        <w:spacing w:line="0" w:lineRule="atLeast"/>
        <w:jc w:val="both"/>
        <w:rPr>
          <w:rFonts w:ascii="Arial" w:hAnsi="Arial" w:cs="Arial"/>
          <w:i/>
        </w:rPr>
      </w:pPr>
    </w:p>
    <w:p w14:paraId="03B43B68" w14:textId="08DD8203" w:rsidR="00D72D5B" w:rsidRPr="00545F52" w:rsidRDefault="00126F6D" w:rsidP="00D72D5B">
      <w:pPr>
        <w:spacing w:line="0" w:lineRule="atLeast"/>
        <w:jc w:val="both"/>
        <w:rPr>
          <w:rFonts w:ascii="Arial" w:hAnsi="Arial" w:cs="Arial"/>
          <w:i/>
        </w:rPr>
      </w:pPr>
      <w:r w:rsidRPr="00126F6D">
        <w:rPr>
          <w:noProof/>
        </w:rPr>
        <w:drawing>
          <wp:inline distT="0" distB="0" distL="0" distR="0" wp14:anchorId="472196E0" wp14:editId="1B383B15">
            <wp:extent cx="6048375" cy="3086100"/>
            <wp:effectExtent l="0" t="0" r="9525" b="0"/>
            <wp:docPr id="268179505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BC9B" w14:textId="06E0EB61" w:rsidR="00D72D5B" w:rsidRDefault="00D72D5B" w:rsidP="00D72D5B">
      <w:pPr>
        <w:rPr>
          <w:rFonts w:ascii="Arial" w:hAnsi="Arial" w:cs="Arial"/>
        </w:rPr>
      </w:pPr>
    </w:p>
    <w:p w14:paraId="24EB4626" w14:textId="551D2D23" w:rsidR="00D72D5B" w:rsidRPr="00BE761C" w:rsidRDefault="00F330A1" w:rsidP="00D72D5B">
      <w:pPr>
        <w:spacing w:before="120" w:after="12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Polug</w:t>
      </w:r>
      <w:r w:rsidR="00D72D5B" w:rsidRPr="005B220F">
        <w:rPr>
          <w:rFonts w:ascii="Arial" w:hAnsi="Arial" w:cs="Arial"/>
        </w:rPr>
        <w:t xml:space="preserve">odišnji izvještaj o izvršenju iskazuje ostvarenje prihoda i primitaka, odnosno izvršenje rashoda i izdataka </w:t>
      </w:r>
      <w:r>
        <w:rPr>
          <w:rFonts w:ascii="Arial" w:hAnsi="Arial" w:cs="Arial"/>
        </w:rPr>
        <w:t>u prvom polugodištu</w:t>
      </w:r>
      <w:r w:rsidR="00D72D5B" w:rsidRPr="00BE761C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ove</w:t>
      </w:r>
      <w:r w:rsidR="00D72D5B" w:rsidRPr="00BE761C">
        <w:rPr>
          <w:rFonts w:ascii="Arial" w:hAnsi="Arial" w:cs="Arial"/>
          <w:bCs/>
        </w:rPr>
        <w:t xml:space="preserve"> godine (tekući viškovi/manjkovi). </w:t>
      </w:r>
    </w:p>
    <w:p w14:paraId="70EEF05A" w14:textId="5A9E3D34" w:rsidR="00D72D5B" w:rsidRPr="005B220F" w:rsidRDefault="00D72D5B" w:rsidP="00D72D5B">
      <w:pPr>
        <w:spacing w:before="120" w:after="120" w:line="360" w:lineRule="auto"/>
        <w:jc w:val="both"/>
        <w:rPr>
          <w:rFonts w:ascii="Arial" w:hAnsi="Arial" w:cs="Arial"/>
        </w:rPr>
      </w:pPr>
      <w:r w:rsidRPr="005B220F">
        <w:rPr>
          <w:rFonts w:ascii="Arial" w:hAnsi="Arial" w:cs="Arial"/>
        </w:rPr>
        <w:t xml:space="preserve">Uz tekuće viškove i/ili manjkove u </w:t>
      </w:r>
      <w:r w:rsidR="00F330A1">
        <w:rPr>
          <w:rFonts w:ascii="Arial" w:hAnsi="Arial" w:cs="Arial"/>
        </w:rPr>
        <w:t>Polug</w:t>
      </w:r>
      <w:r w:rsidRPr="005B220F">
        <w:rPr>
          <w:rFonts w:ascii="Arial" w:hAnsi="Arial" w:cs="Arial"/>
        </w:rPr>
        <w:t xml:space="preserve">odišnjem izvještaju o izvršenju </w:t>
      </w:r>
      <w:r>
        <w:rPr>
          <w:rFonts w:ascii="Arial" w:hAnsi="Arial" w:cs="Arial"/>
        </w:rPr>
        <w:t>financijskog plana</w:t>
      </w:r>
      <w:r w:rsidRPr="005B220F">
        <w:rPr>
          <w:rFonts w:ascii="Arial" w:hAnsi="Arial" w:cs="Arial"/>
        </w:rPr>
        <w:t xml:space="preserve"> iskazuje se </w:t>
      </w:r>
      <w:r>
        <w:rPr>
          <w:rFonts w:ascii="Arial" w:hAnsi="Arial" w:cs="Arial"/>
        </w:rPr>
        <w:t xml:space="preserve">dio </w:t>
      </w:r>
      <w:r w:rsidRPr="005B220F">
        <w:rPr>
          <w:rFonts w:ascii="Arial" w:hAnsi="Arial" w:cs="Arial"/>
        </w:rPr>
        <w:t>prenesen</w:t>
      </w:r>
      <w:r>
        <w:rPr>
          <w:rFonts w:ascii="Arial" w:hAnsi="Arial" w:cs="Arial"/>
        </w:rPr>
        <w:t>og</w:t>
      </w:r>
      <w:r w:rsidRPr="005B220F">
        <w:rPr>
          <w:rFonts w:ascii="Arial" w:hAnsi="Arial" w:cs="Arial"/>
        </w:rPr>
        <w:t xml:space="preserve"> manjk</w:t>
      </w:r>
      <w:r>
        <w:rPr>
          <w:rFonts w:ascii="Arial" w:hAnsi="Arial" w:cs="Arial"/>
        </w:rPr>
        <w:t xml:space="preserve">a </w:t>
      </w:r>
      <w:r w:rsidRPr="005B220F">
        <w:rPr>
          <w:rFonts w:ascii="Arial" w:hAnsi="Arial" w:cs="Arial"/>
        </w:rPr>
        <w:t xml:space="preserve">za koji su u </w:t>
      </w:r>
      <w:r>
        <w:rPr>
          <w:rFonts w:ascii="Arial" w:hAnsi="Arial" w:cs="Arial"/>
        </w:rPr>
        <w:t>Financijskom planu</w:t>
      </w:r>
      <w:r w:rsidRPr="005B220F">
        <w:rPr>
          <w:rFonts w:ascii="Arial" w:hAnsi="Arial" w:cs="Arial"/>
        </w:rPr>
        <w:t xml:space="preserve"> osigurana sredstva za pokriće</w:t>
      </w:r>
      <w:r>
        <w:rPr>
          <w:rFonts w:ascii="Arial" w:hAnsi="Arial" w:cs="Arial"/>
        </w:rPr>
        <w:t>.</w:t>
      </w:r>
      <w:r w:rsidRPr="005B220F">
        <w:rPr>
          <w:rFonts w:ascii="Arial" w:hAnsi="Arial" w:cs="Arial"/>
        </w:rPr>
        <w:t xml:space="preserve"> </w:t>
      </w:r>
    </w:p>
    <w:p w14:paraId="198790A7" w14:textId="16A231A4" w:rsidR="00D72D5B" w:rsidRDefault="00D72D5B" w:rsidP="00D72D5B">
      <w:pPr>
        <w:spacing w:before="120" w:after="120" w:line="360" w:lineRule="auto"/>
        <w:jc w:val="both"/>
        <w:rPr>
          <w:rFonts w:ascii="Arial" w:hAnsi="Arial" w:cs="Arial"/>
        </w:rPr>
      </w:pPr>
      <w:r w:rsidRPr="00514F5F">
        <w:rPr>
          <w:rFonts w:ascii="Arial" w:hAnsi="Arial" w:cs="Arial"/>
        </w:rPr>
        <w:t>U 202</w:t>
      </w:r>
      <w:r w:rsidR="00126F6D">
        <w:rPr>
          <w:rFonts w:ascii="Arial" w:hAnsi="Arial" w:cs="Arial"/>
        </w:rPr>
        <w:t>3</w:t>
      </w:r>
      <w:r w:rsidRPr="00514F5F">
        <w:rPr>
          <w:rFonts w:ascii="Arial" w:hAnsi="Arial" w:cs="Arial"/>
        </w:rPr>
        <w:t xml:space="preserve">. godini ostvaren je višak u iznosu od </w:t>
      </w:r>
      <w:r w:rsidR="00126F6D" w:rsidRPr="00514F5F">
        <w:rPr>
          <w:rFonts w:ascii="Arial" w:hAnsi="Arial" w:cs="Arial"/>
        </w:rPr>
        <w:t>110.343,93</w:t>
      </w:r>
      <w:r w:rsidR="00126F6D">
        <w:rPr>
          <w:rFonts w:ascii="Arial" w:hAnsi="Arial" w:cs="Arial"/>
        </w:rPr>
        <w:t xml:space="preserve"> </w:t>
      </w:r>
      <w:r w:rsidRPr="00514F5F">
        <w:rPr>
          <w:rFonts w:ascii="Arial" w:hAnsi="Arial" w:cs="Arial"/>
        </w:rPr>
        <w:t xml:space="preserve">eura, koji se korigira s   manjkom iz prethodnih godina, </w:t>
      </w:r>
      <w:r w:rsidR="00126F6D">
        <w:rPr>
          <w:rFonts w:ascii="Arial" w:hAnsi="Arial" w:cs="Arial"/>
        </w:rPr>
        <w:t>pa ukupni manjak za pokriće u narednim razdobljima na kraju 2023. godine iznosi 507.165,52 eura.</w:t>
      </w:r>
      <w:r w:rsidR="009005DB">
        <w:rPr>
          <w:rFonts w:ascii="Arial" w:hAnsi="Arial" w:cs="Arial"/>
        </w:rPr>
        <w:t xml:space="preserve"> </w:t>
      </w:r>
    </w:p>
    <w:p w14:paraId="4CCA12AC" w14:textId="7098A0C4" w:rsidR="009005DB" w:rsidRDefault="009005DB" w:rsidP="00D72D5B">
      <w:p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Financijskim planom za 2024. godinu planirano je pokriće manjka iz prethodnih godina u iznosu od 93.000,00 eura.</w:t>
      </w:r>
    </w:p>
    <w:p w14:paraId="14723A33" w14:textId="2A72638B" w:rsidR="009005DB" w:rsidRDefault="009005DB" w:rsidP="00D72D5B">
      <w:p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 prvom polugodištu tekuće godine ostvaren je manjak prihoda nad rashodima u iznosu od 186.907,79 eura, koji se korigira s prenesenim manjkom na kraju 2023. godine, pa ukupni manjak iznosi  694.073,31 eura.</w:t>
      </w:r>
    </w:p>
    <w:p w14:paraId="01F75C89" w14:textId="45BFFDA2" w:rsidR="00BF3112" w:rsidRPr="00F87756" w:rsidRDefault="00F87756" w:rsidP="00D72D5B">
      <w:pPr>
        <w:spacing w:before="120" w:after="120" w:line="360" w:lineRule="auto"/>
        <w:jc w:val="both"/>
        <w:rPr>
          <w:rFonts w:ascii="Arial" w:hAnsi="Arial" w:cs="Arial"/>
        </w:rPr>
      </w:pPr>
      <w:r w:rsidRPr="00F87756">
        <w:rPr>
          <w:rFonts w:ascii="Arial" w:hAnsi="Arial" w:cs="Arial"/>
        </w:rPr>
        <w:t>Ostvareni manjak u 2024. godini posljedica je povećanih rashoda za plaće zaposlenih koje se od 01.03.2024. godini isplaćuju prema novoj Uredbi Vlade o nazivima radnih mjesta, uvjetima za raspored i koeficijentima za obračun plaće u javnim službama, a  koje ne prati adekvatno povećanje glavarina i cijena usluga HZZO.</w:t>
      </w:r>
    </w:p>
    <w:p w14:paraId="00C51623" w14:textId="77777777" w:rsidR="00D72D5B" w:rsidRPr="00DA11D8" w:rsidRDefault="00D72D5B" w:rsidP="00D72D5B">
      <w:pPr>
        <w:pStyle w:val="Naslov1"/>
        <w:numPr>
          <w:ilvl w:val="0"/>
          <w:numId w:val="1"/>
        </w:numPr>
        <w:ind w:left="709" w:hanging="709"/>
        <w:rPr>
          <w:rFonts w:ascii="Arial" w:hAnsi="Arial" w:cs="Arial"/>
          <w:i w:val="0"/>
        </w:rPr>
      </w:pPr>
      <w:bookmarkStart w:id="1" w:name="_Toc172785190"/>
      <w:r w:rsidRPr="00DA11D8">
        <w:rPr>
          <w:rFonts w:ascii="Arial" w:hAnsi="Arial" w:cs="Arial"/>
          <w:i w:val="0"/>
        </w:rPr>
        <w:lastRenderedPageBreak/>
        <w:t>PRIHODI I PRIMICI</w:t>
      </w:r>
      <w:bookmarkEnd w:id="1"/>
    </w:p>
    <w:p w14:paraId="23EEEA6C" w14:textId="77777777" w:rsidR="00D72D5B" w:rsidRPr="00DA11D8" w:rsidRDefault="00D72D5B" w:rsidP="00D72D5B">
      <w:pPr>
        <w:jc w:val="both"/>
        <w:rPr>
          <w:rFonts w:ascii="Arial" w:hAnsi="Arial" w:cs="Arial"/>
        </w:rPr>
      </w:pPr>
    </w:p>
    <w:p w14:paraId="1FA4036F" w14:textId="109844CC" w:rsidR="00D72D5B" w:rsidRDefault="00D72D5B" w:rsidP="00D72D5B">
      <w:pPr>
        <w:spacing w:line="360" w:lineRule="auto"/>
        <w:jc w:val="both"/>
        <w:rPr>
          <w:rFonts w:ascii="Arial" w:hAnsi="Arial" w:cs="Arial"/>
        </w:rPr>
      </w:pPr>
      <w:r w:rsidRPr="00DA11D8">
        <w:rPr>
          <w:rFonts w:ascii="Arial" w:hAnsi="Arial" w:cs="Arial"/>
        </w:rPr>
        <w:t xml:space="preserve">Financijskim planom </w:t>
      </w:r>
      <w:r>
        <w:rPr>
          <w:rFonts w:ascii="Arial" w:hAnsi="Arial" w:cs="Arial"/>
        </w:rPr>
        <w:t>Doma zdravlja Varaždinske županije</w:t>
      </w:r>
      <w:r w:rsidRPr="00DA11D8">
        <w:rPr>
          <w:rFonts w:ascii="Arial" w:hAnsi="Arial" w:cs="Arial"/>
        </w:rPr>
        <w:t xml:space="preserve"> za 202</w:t>
      </w:r>
      <w:r w:rsidR="009005DB">
        <w:rPr>
          <w:rFonts w:ascii="Arial" w:hAnsi="Arial" w:cs="Arial"/>
        </w:rPr>
        <w:t>4</w:t>
      </w:r>
      <w:r w:rsidRPr="00DA11D8">
        <w:rPr>
          <w:rFonts w:ascii="Arial" w:hAnsi="Arial" w:cs="Arial"/>
        </w:rPr>
        <w:t xml:space="preserve">. godinu planirani su prihodi i primici u iznosu od </w:t>
      </w:r>
      <w:r>
        <w:rPr>
          <w:rFonts w:ascii="Arial" w:hAnsi="Arial" w:cs="Arial"/>
        </w:rPr>
        <w:t>7.</w:t>
      </w:r>
      <w:r w:rsidR="0097264C">
        <w:rPr>
          <w:rFonts w:ascii="Arial" w:hAnsi="Arial" w:cs="Arial"/>
        </w:rPr>
        <w:t>295</w:t>
      </w:r>
      <w:r>
        <w:rPr>
          <w:rFonts w:ascii="Arial" w:hAnsi="Arial" w:cs="Arial"/>
        </w:rPr>
        <w:t>.</w:t>
      </w:r>
      <w:r w:rsidR="0097264C">
        <w:rPr>
          <w:rFonts w:ascii="Arial" w:hAnsi="Arial" w:cs="Arial"/>
        </w:rPr>
        <w:t>813</w:t>
      </w:r>
      <w:r>
        <w:rPr>
          <w:rFonts w:ascii="Arial" w:hAnsi="Arial" w:cs="Arial"/>
        </w:rPr>
        <w:t xml:space="preserve"> </w:t>
      </w:r>
      <w:r w:rsidRPr="00DA11D8">
        <w:rPr>
          <w:rFonts w:ascii="Arial" w:hAnsi="Arial" w:cs="Arial"/>
        </w:rPr>
        <w:t xml:space="preserve">eura (bez uključenog prenesenog manjka/viška prethodnih godina), a isti su </w:t>
      </w:r>
      <w:r w:rsidR="0097264C">
        <w:rPr>
          <w:rFonts w:ascii="Arial" w:hAnsi="Arial" w:cs="Arial"/>
        </w:rPr>
        <w:t xml:space="preserve">u prvom polugodištu ove godine </w:t>
      </w:r>
      <w:r w:rsidRPr="00DA11D8">
        <w:rPr>
          <w:rFonts w:ascii="Arial" w:hAnsi="Arial" w:cs="Arial"/>
        </w:rPr>
        <w:t xml:space="preserve">naplaćeni u iznosu od </w:t>
      </w:r>
      <w:r w:rsidR="0097264C">
        <w:rPr>
          <w:rFonts w:ascii="Arial" w:hAnsi="Arial" w:cs="Arial"/>
        </w:rPr>
        <w:t>3</w:t>
      </w:r>
      <w:r>
        <w:rPr>
          <w:rFonts w:ascii="Arial" w:hAnsi="Arial" w:cs="Arial"/>
        </w:rPr>
        <w:t>.</w:t>
      </w:r>
      <w:r w:rsidR="0097264C">
        <w:rPr>
          <w:rFonts w:ascii="Arial" w:hAnsi="Arial" w:cs="Arial"/>
        </w:rPr>
        <w:t>759</w:t>
      </w:r>
      <w:r>
        <w:rPr>
          <w:rFonts w:ascii="Arial" w:hAnsi="Arial" w:cs="Arial"/>
        </w:rPr>
        <w:t>.</w:t>
      </w:r>
      <w:r w:rsidR="0097264C">
        <w:rPr>
          <w:rFonts w:ascii="Arial" w:hAnsi="Arial" w:cs="Arial"/>
        </w:rPr>
        <w:t>225,50</w:t>
      </w:r>
      <w:r>
        <w:rPr>
          <w:rFonts w:ascii="Arial" w:hAnsi="Arial" w:cs="Arial"/>
        </w:rPr>
        <w:t xml:space="preserve"> </w:t>
      </w:r>
      <w:r w:rsidRPr="00DA11D8">
        <w:rPr>
          <w:rFonts w:ascii="Arial" w:hAnsi="Arial" w:cs="Arial"/>
        </w:rPr>
        <w:t xml:space="preserve">eura, </w:t>
      </w:r>
      <w:r w:rsidR="009928E7">
        <w:rPr>
          <w:rFonts w:ascii="Arial" w:hAnsi="Arial" w:cs="Arial"/>
        </w:rPr>
        <w:t xml:space="preserve">što je </w:t>
      </w:r>
      <w:r w:rsidRPr="00EB125C">
        <w:rPr>
          <w:rFonts w:ascii="Arial" w:hAnsi="Arial" w:cs="Arial"/>
        </w:rPr>
        <w:t xml:space="preserve"> </w:t>
      </w:r>
      <w:r w:rsidR="0097264C">
        <w:rPr>
          <w:rFonts w:ascii="Arial" w:hAnsi="Arial" w:cs="Arial"/>
        </w:rPr>
        <w:t>51,5</w:t>
      </w:r>
      <w:r w:rsidRPr="00EB125C">
        <w:rPr>
          <w:rFonts w:ascii="Arial" w:hAnsi="Arial" w:cs="Arial"/>
          <w:iCs/>
        </w:rPr>
        <w:t>% godišnjeg plana</w:t>
      </w:r>
      <w:r w:rsidR="009928E7">
        <w:rPr>
          <w:rFonts w:ascii="Arial" w:hAnsi="Arial" w:cs="Arial"/>
          <w:iCs/>
        </w:rPr>
        <w:t xml:space="preserve"> i 19,7% više nego u provom polugodištu prošle godine</w:t>
      </w:r>
      <w:r w:rsidRPr="00EB125C">
        <w:rPr>
          <w:rFonts w:ascii="Arial" w:hAnsi="Arial" w:cs="Arial"/>
          <w:iCs/>
        </w:rPr>
        <w:t>.</w:t>
      </w:r>
      <w:r w:rsidRPr="00DA11D8">
        <w:rPr>
          <w:rFonts w:ascii="Arial" w:hAnsi="Arial" w:cs="Arial"/>
        </w:rPr>
        <w:t xml:space="preserve"> </w:t>
      </w:r>
    </w:p>
    <w:p w14:paraId="72248244" w14:textId="77777777" w:rsidR="00D72D5B" w:rsidRDefault="00D72D5B" w:rsidP="00D72D5B">
      <w:pPr>
        <w:spacing w:line="360" w:lineRule="auto"/>
        <w:jc w:val="both"/>
        <w:rPr>
          <w:rFonts w:ascii="Arial" w:hAnsi="Arial" w:cs="Arial"/>
          <w:bCs/>
          <w:lang w:eastAsia="hr-HR"/>
        </w:rPr>
      </w:pPr>
      <w:r w:rsidRPr="00583475">
        <w:rPr>
          <w:rFonts w:ascii="Arial" w:hAnsi="Arial" w:cs="Arial"/>
          <w:bCs/>
          <w:lang w:eastAsia="hr-HR"/>
        </w:rPr>
        <w:t>Pregled planiranih i ostvarenih  prihoda prema ekonomskoj klasifikaciji na razini skupine daje se u sljedećem analitičkom prikazu:</w:t>
      </w:r>
    </w:p>
    <w:p w14:paraId="1EF13B6C" w14:textId="77777777" w:rsidR="007549FC" w:rsidRDefault="007549FC" w:rsidP="00D72D5B">
      <w:pPr>
        <w:spacing w:line="360" w:lineRule="auto"/>
        <w:jc w:val="both"/>
        <w:rPr>
          <w:rFonts w:ascii="Arial" w:hAnsi="Arial" w:cs="Arial"/>
          <w:bCs/>
          <w:lang w:eastAsia="hr-HR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1984"/>
        <w:gridCol w:w="1559"/>
        <w:gridCol w:w="1134"/>
      </w:tblGrid>
      <w:tr w:rsidR="009928E7" w:rsidRPr="0097264C" w14:paraId="068641AB" w14:textId="69B9F57B" w:rsidTr="009928E7">
        <w:trPr>
          <w:trHeight w:val="594"/>
        </w:trPr>
        <w:tc>
          <w:tcPr>
            <w:tcW w:w="4957" w:type="dxa"/>
            <w:shd w:val="clear" w:color="auto" w:fill="auto"/>
          </w:tcPr>
          <w:p w14:paraId="7081D49E" w14:textId="77777777" w:rsidR="009928E7" w:rsidRPr="009928E7" w:rsidRDefault="009928E7" w:rsidP="0097264C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Vrsta prihoda</w:t>
            </w:r>
          </w:p>
        </w:tc>
        <w:tc>
          <w:tcPr>
            <w:tcW w:w="1984" w:type="dxa"/>
          </w:tcPr>
          <w:p w14:paraId="330141DF" w14:textId="580453D0" w:rsidR="009928E7" w:rsidRPr="009928E7" w:rsidRDefault="009928E7" w:rsidP="0097264C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Godišnji plan 2024.</w:t>
            </w:r>
          </w:p>
        </w:tc>
        <w:tc>
          <w:tcPr>
            <w:tcW w:w="1559" w:type="dxa"/>
          </w:tcPr>
          <w:p w14:paraId="4F05100B" w14:textId="64A79E22" w:rsidR="009928E7" w:rsidRDefault="009928E7" w:rsidP="009928E7">
            <w:pPr>
              <w:suppressAutoHyphens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</w:t>
            </w: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Izvršenje </w:t>
            </w:r>
          </w:p>
          <w:p w14:paraId="4065230F" w14:textId="45D149EF" w:rsidR="009928E7" w:rsidRPr="009928E7" w:rsidRDefault="009928E7" w:rsidP="009928E7">
            <w:pPr>
              <w:suppressAutoHyphens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 </w:t>
            </w: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I.– VI.2024.</w:t>
            </w:r>
          </w:p>
        </w:tc>
        <w:tc>
          <w:tcPr>
            <w:tcW w:w="1134" w:type="dxa"/>
            <w:shd w:val="clear" w:color="auto" w:fill="auto"/>
          </w:tcPr>
          <w:p w14:paraId="02FEDD8E" w14:textId="77777777" w:rsidR="009928E7" w:rsidRPr="009928E7" w:rsidRDefault="009928E7" w:rsidP="0097264C">
            <w:pPr>
              <w:suppressAutoHyphens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Indeks%</w:t>
            </w:r>
          </w:p>
        </w:tc>
      </w:tr>
      <w:tr w:rsidR="009928E7" w:rsidRPr="0097264C" w14:paraId="40C63626" w14:textId="331E9F32" w:rsidTr="009928E7">
        <w:trPr>
          <w:trHeight w:val="587"/>
        </w:trPr>
        <w:tc>
          <w:tcPr>
            <w:tcW w:w="4957" w:type="dxa"/>
            <w:shd w:val="clear" w:color="auto" w:fill="auto"/>
          </w:tcPr>
          <w:p w14:paraId="6791EF9F" w14:textId="77777777" w:rsidR="009928E7" w:rsidRPr="009928E7" w:rsidRDefault="009928E7" w:rsidP="0097264C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UKUPNI PRIHODI</w:t>
            </w:r>
          </w:p>
        </w:tc>
        <w:tc>
          <w:tcPr>
            <w:tcW w:w="1984" w:type="dxa"/>
          </w:tcPr>
          <w:p w14:paraId="52046EBF" w14:textId="78F67C5F" w:rsidR="009928E7" w:rsidRPr="009928E7" w:rsidRDefault="009928E7" w:rsidP="009928E7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7.</w:t>
            </w:r>
            <w:r w:rsidR="00E45A03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295</w:t>
            </w:r>
            <w:r w:rsidRPr="009928E7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.</w:t>
            </w:r>
            <w:r w:rsidR="00E45A03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813</w:t>
            </w:r>
            <w:r w:rsidRPr="009928E7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59" w:type="dxa"/>
          </w:tcPr>
          <w:p w14:paraId="5FE07F32" w14:textId="59E76795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3</w:t>
            </w:r>
            <w:r w:rsidR="009928E7" w:rsidRPr="009928E7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759</w:t>
            </w:r>
            <w:r w:rsidR="009928E7" w:rsidRPr="009928E7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225,50</w:t>
            </w:r>
          </w:p>
        </w:tc>
        <w:tc>
          <w:tcPr>
            <w:tcW w:w="1134" w:type="dxa"/>
            <w:shd w:val="clear" w:color="auto" w:fill="auto"/>
          </w:tcPr>
          <w:p w14:paraId="427C9753" w14:textId="1BF48922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51,5</w:t>
            </w:r>
          </w:p>
        </w:tc>
      </w:tr>
      <w:tr w:rsidR="009928E7" w:rsidRPr="0097264C" w14:paraId="3E1495BA" w14:textId="554DCE47" w:rsidTr="009928E7">
        <w:trPr>
          <w:trHeight w:val="602"/>
        </w:trPr>
        <w:tc>
          <w:tcPr>
            <w:tcW w:w="4957" w:type="dxa"/>
            <w:shd w:val="clear" w:color="auto" w:fill="auto"/>
          </w:tcPr>
          <w:p w14:paraId="0F183855" w14:textId="77777777" w:rsidR="009928E7" w:rsidRPr="009928E7" w:rsidRDefault="009928E7" w:rsidP="0097264C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Pomoći iz inozemstva i od subjekata unutar općeg proračuna  (63)</w:t>
            </w:r>
          </w:p>
        </w:tc>
        <w:tc>
          <w:tcPr>
            <w:tcW w:w="1984" w:type="dxa"/>
          </w:tcPr>
          <w:p w14:paraId="5C5CE64B" w14:textId="72281BCA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278.860</w:t>
            </w:r>
            <w:r w:rsidR="009928E7"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59" w:type="dxa"/>
          </w:tcPr>
          <w:p w14:paraId="3F9022FF" w14:textId="79FDC4F0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195</w:t>
            </w:r>
            <w:r w:rsidR="009928E7"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028,06</w:t>
            </w:r>
          </w:p>
        </w:tc>
        <w:tc>
          <w:tcPr>
            <w:tcW w:w="1134" w:type="dxa"/>
            <w:shd w:val="clear" w:color="auto" w:fill="auto"/>
          </w:tcPr>
          <w:p w14:paraId="179B5B91" w14:textId="2983D553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69,9</w:t>
            </w:r>
          </w:p>
        </w:tc>
      </w:tr>
      <w:tr w:rsidR="009928E7" w:rsidRPr="0097264C" w14:paraId="1CC42F6D" w14:textId="0C6DFF45" w:rsidTr="009928E7">
        <w:tc>
          <w:tcPr>
            <w:tcW w:w="4957" w:type="dxa"/>
            <w:shd w:val="clear" w:color="auto" w:fill="auto"/>
          </w:tcPr>
          <w:p w14:paraId="36C0E86C" w14:textId="77777777" w:rsidR="009928E7" w:rsidRPr="009928E7" w:rsidRDefault="009928E7" w:rsidP="0097264C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Prihodi od imovine (64)</w:t>
            </w:r>
          </w:p>
        </w:tc>
        <w:tc>
          <w:tcPr>
            <w:tcW w:w="1984" w:type="dxa"/>
          </w:tcPr>
          <w:p w14:paraId="3F379DC7" w14:textId="1C77F997" w:rsidR="009928E7" w:rsidRPr="009928E7" w:rsidRDefault="009928E7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3.</w:t>
            </w:r>
            <w:r w:rsidR="00E45A03">
              <w:rPr>
                <w:rFonts w:ascii="Arial" w:eastAsia="Calibri" w:hAnsi="Arial" w:cs="Arial"/>
                <w:sz w:val="22"/>
                <w:szCs w:val="22"/>
                <w:lang w:eastAsia="zh-CN"/>
              </w:rPr>
              <w:t>665</w:t>
            </w: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59" w:type="dxa"/>
          </w:tcPr>
          <w:p w14:paraId="4345E7DF" w14:textId="32329C55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2</w:t>
            </w:r>
            <w:r w:rsidR="009928E7"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686,18</w:t>
            </w:r>
          </w:p>
        </w:tc>
        <w:tc>
          <w:tcPr>
            <w:tcW w:w="1134" w:type="dxa"/>
            <w:shd w:val="clear" w:color="auto" w:fill="auto"/>
          </w:tcPr>
          <w:p w14:paraId="6BDD1D91" w14:textId="3A09E1CF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73,3</w:t>
            </w:r>
          </w:p>
        </w:tc>
      </w:tr>
      <w:tr w:rsidR="009928E7" w:rsidRPr="0097264C" w14:paraId="3D0A5D96" w14:textId="154F0E2C" w:rsidTr="009928E7">
        <w:tc>
          <w:tcPr>
            <w:tcW w:w="4957" w:type="dxa"/>
            <w:shd w:val="clear" w:color="auto" w:fill="auto"/>
          </w:tcPr>
          <w:p w14:paraId="2D5C23DE" w14:textId="77777777" w:rsidR="009928E7" w:rsidRPr="009928E7" w:rsidRDefault="009928E7" w:rsidP="0097264C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Prihodi po posebnim propisima (65)</w:t>
            </w:r>
          </w:p>
        </w:tc>
        <w:tc>
          <w:tcPr>
            <w:tcW w:w="1984" w:type="dxa"/>
          </w:tcPr>
          <w:p w14:paraId="25E111AD" w14:textId="3F3D86E5" w:rsidR="009928E7" w:rsidRPr="009928E7" w:rsidRDefault="009928E7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21</w:t>
            </w:r>
            <w:r w:rsidR="00E45A03">
              <w:rPr>
                <w:rFonts w:ascii="Arial" w:eastAsia="Calibri" w:hAnsi="Arial" w:cs="Arial"/>
                <w:sz w:val="22"/>
                <w:szCs w:val="22"/>
                <w:lang w:eastAsia="zh-CN"/>
              </w:rPr>
              <w:t>4</w:t>
            </w: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 w:rsidR="00E45A03">
              <w:rPr>
                <w:rFonts w:ascii="Arial" w:eastAsia="Calibri" w:hAnsi="Arial" w:cs="Arial"/>
                <w:sz w:val="22"/>
                <w:szCs w:val="22"/>
                <w:lang w:eastAsia="zh-CN"/>
              </w:rPr>
              <w:t>100</w:t>
            </w: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59" w:type="dxa"/>
          </w:tcPr>
          <w:p w14:paraId="11A8A36D" w14:textId="25B55CEA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140</w:t>
            </w:r>
            <w:r w:rsidR="009928E7"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236,34</w:t>
            </w:r>
          </w:p>
        </w:tc>
        <w:tc>
          <w:tcPr>
            <w:tcW w:w="1134" w:type="dxa"/>
            <w:shd w:val="clear" w:color="auto" w:fill="auto"/>
          </w:tcPr>
          <w:p w14:paraId="0D923510" w14:textId="3D05075F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65,5</w:t>
            </w:r>
          </w:p>
        </w:tc>
      </w:tr>
      <w:tr w:rsidR="009928E7" w:rsidRPr="0097264C" w14:paraId="141F6366" w14:textId="5B459F89" w:rsidTr="009928E7">
        <w:tc>
          <w:tcPr>
            <w:tcW w:w="4957" w:type="dxa"/>
            <w:shd w:val="clear" w:color="auto" w:fill="auto"/>
          </w:tcPr>
          <w:p w14:paraId="51B514DD" w14:textId="77777777" w:rsidR="009928E7" w:rsidRPr="009928E7" w:rsidRDefault="009928E7" w:rsidP="0097264C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Prihodi od pruženih usluga  i donacije (66)</w:t>
            </w:r>
          </w:p>
        </w:tc>
        <w:tc>
          <w:tcPr>
            <w:tcW w:w="1984" w:type="dxa"/>
          </w:tcPr>
          <w:p w14:paraId="4F82BD01" w14:textId="77C3B728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878.597</w:t>
            </w:r>
            <w:r w:rsidR="009928E7"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59" w:type="dxa"/>
          </w:tcPr>
          <w:p w14:paraId="120697F8" w14:textId="654E9367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387</w:t>
            </w:r>
            <w:r w:rsidR="009928E7"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312,72</w:t>
            </w:r>
          </w:p>
        </w:tc>
        <w:tc>
          <w:tcPr>
            <w:tcW w:w="1134" w:type="dxa"/>
            <w:shd w:val="clear" w:color="auto" w:fill="auto"/>
          </w:tcPr>
          <w:p w14:paraId="2200CF5A" w14:textId="294627B1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44,1</w:t>
            </w:r>
          </w:p>
        </w:tc>
      </w:tr>
      <w:tr w:rsidR="009928E7" w:rsidRPr="0097264C" w14:paraId="785CBD53" w14:textId="1C1901F3" w:rsidTr="009928E7">
        <w:tc>
          <w:tcPr>
            <w:tcW w:w="4957" w:type="dxa"/>
            <w:shd w:val="clear" w:color="auto" w:fill="auto"/>
          </w:tcPr>
          <w:p w14:paraId="13350045" w14:textId="77777777" w:rsidR="009928E7" w:rsidRPr="009928E7" w:rsidRDefault="009928E7" w:rsidP="0097264C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Prihodi iz nadležnog proračuna i od HZZO-a (67)</w:t>
            </w:r>
          </w:p>
        </w:tc>
        <w:tc>
          <w:tcPr>
            <w:tcW w:w="1984" w:type="dxa"/>
          </w:tcPr>
          <w:p w14:paraId="56ABD724" w14:textId="598BFE58" w:rsidR="009928E7" w:rsidRPr="009928E7" w:rsidRDefault="009928E7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5.</w:t>
            </w:r>
            <w:r w:rsidR="00E45A03">
              <w:rPr>
                <w:rFonts w:ascii="Arial" w:eastAsia="Calibri" w:hAnsi="Arial" w:cs="Arial"/>
                <w:sz w:val="22"/>
                <w:szCs w:val="22"/>
                <w:lang w:eastAsia="zh-CN"/>
              </w:rPr>
              <w:t>914</w:t>
            </w: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 w:rsidR="00F80B53">
              <w:rPr>
                <w:rFonts w:ascii="Arial" w:eastAsia="Calibri" w:hAnsi="Arial" w:cs="Arial"/>
                <w:sz w:val="22"/>
                <w:szCs w:val="22"/>
                <w:lang w:eastAsia="zh-CN"/>
              </w:rPr>
              <w:t>5</w:t>
            </w:r>
            <w:r w:rsidR="00E45A03">
              <w:rPr>
                <w:rFonts w:ascii="Arial" w:eastAsia="Calibri" w:hAnsi="Arial" w:cs="Arial"/>
                <w:sz w:val="22"/>
                <w:szCs w:val="22"/>
                <w:lang w:eastAsia="zh-CN"/>
              </w:rPr>
              <w:t>20,</w:t>
            </w: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00</w:t>
            </w:r>
          </w:p>
        </w:tc>
        <w:tc>
          <w:tcPr>
            <w:tcW w:w="1559" w:type="dxa"/>
          </w:tcPr>
          <w:p w14:paraId="176D7C12" w14:textId="783CBCE3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3</w:t>
            </w:r>
            <w:r w:rsidR="009928E7"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032</w:t>
            </w:r>
            <w:r w:rsidR="009928E7"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196,80</w:t>
            </w:r>
          </w:p>
        </w:tc>
        <w:tc>
          <w:tcPr>
            <w:tcW w:w="1134" w:type="dxa"/>
            <w:shd w:val="clear" w:color="auto" w:fill="auto"/>
          </w:tcPr>
          <w:p w14:paraId="5E3D7FCD" w14:textId="56EAAD08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51,3</w:t>
            </w:r>
          </w:p>
        </w:tc>
      </w:tr>
      <w:tr w:rsidR="009928E7" w:rsidRPr="0097264C" w14:paraId="32C0D743" w14:textId="0C9C798B" w:rsidTr="009928E7">
        <w:tc>
          <w:tcPr>
            <w:tcW w:w="4957" w:type="dxa"/>
            <w:shd w:val="clear" w:color="auto" w:fill="auto"/>
          </w:tcPr>
          <w:p w14:paraId="18D821E6" w14:textId="77777777" w:rsidR="009928E7" w:rsidRPr="009928E7" w:rsidRDefault="009928E7" w:rsidP="0097264C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Ostali prihodi (68)</w:t>
            </w:r>
          </w:p>
        </w:tc>
        <w:tc>
          <w:tcPr>
            <w:tcW w:w="1984" w:type="dxa"/>
          </w:tcPr>
          <w:p w14:paraId="7E00EC1F" w14:textId="6FBCB228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3</w:t>
            </w:r>
            <w:r w:rsidR="009928E7"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000</w:t>
            </w:r>
            <w:r w:rsidR="009928E7"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59" w:type="dxa"/>
          </w:tcPr>
          <w:p w14:paraId="2F7BABBB" w14:textId="77EBD7BE" w:rsidR="00E45A03" w:rsidRPr="009928E7" w:rsidRDefault="00E45A03" w:rsidP="00E45A03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1,36</w:t>
            </w:r>
          </w:p>
        </w:tc>
        <w:tc>
          <w:tcPr>
            <w:tcW w:w="1134" w:type="dxa"/>
            <w:shd w:val="clear" w:color="auto" w:fill="auto"/>
          </w:tcPr>
          <w:p w14:paraId="3677F362" w14:textId="4EDFBD9E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0,0</w:t>
            </w:r>
          </w:p>
        </w:tc>
      </w:tr>
      <w:tr w:rsidR="009928E7" w:rsidRPr="0097264C" w14:paraId="4F5EEB3A" w14:textId="268B4C3F" w:rsidTr="009928E7">
        <w:trPr>
          <w:trHeight w:val="335"/>
        </w:trPr>
        <w:tc>
          <w:tcPr>
            <w:tcW w:w="4957" w:type="dxa"/>
            <w:shd w:val="clear" w:color="auto" w:fill="auto"/>
          </w:tcPr>
          <w:p w14:paraId="2B0EE4F5" w14:textId="5AD004E9" w:rsidR="009928E7" w:rsidRPr="009928E7" w:rsidRDefault="009928E7" w:rsidP="0097264C">
            <w:pPr>
              <w:suppressAutoHyphens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Prihodi od prodaje dugotrajne imovine (7</w:t>
            </w:r>
            <w:r w:rsidR="009C36F4">
              <w:rPr>
                <w:rFonts w:ascii="Arial" w:eastAsia="Calibri" w:hAnsi="Arial" w:cs="Arial"/>
                <w:sz w:val="22"/>
                <w:szCs w:val="22"/>
                <w:lang w:eastAsia="zh-CN"/>
              </w:rPr>
              <w:t>1</w:t>
            </w: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1984" w:type="dxa"/>
          </w:tcPr>
          <w:p w14:paraId="3D3D8389" w14:textId="7AB48C22" w:rsidR="009928E7" w:rsidRPr="009928E7" w:rsidRDefault="009928E7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3.</w:t>
            </w:r>
            <w:r w:rsidR="00E45A03">
              <w:rPr>
                <w:rFonts w:ascii="Arial" w:eastAsia="Calibri" w:hAnsi="Arial" w:cs="Arial"/>
                <w:sz w:val="22"/>
                <w:szCs w:val="22"/>
                <w:lang w:eastAsia="zh-CN"/>
              </w:rPr>
              <w:t>071</w:t>
            </w: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59" w:type="dxa"/>
          </w:tcPr>
          <w:p w14:paraId="3C0D1842" w14:textId="78E925D3" w:rsidR="009928E7" w:rsidRPr="009928E7" w:rsidRDefault="00E45A03" w:rsidP="0097264C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1</w:t>
            </w:r>
            <w:r w:rsidR="009928E7"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764,04</w:t>
            </w:r>
          </w:p>
        </w:tc>
        <w:tc>
          <w:tcPr>
            <w:tcW w:w="1134" w:type="dxa"/>
            <w:shd w:val="clear" w:color="auto" w:fill="auto"/>
          </w:tcPr>
          <w:p w14:paraId="0D1A91FA" w14:textId="6BABE578" w:rsidR="009928E7" w:rsidRPr="009928E7" w:rsidRDefault="00E45A03" w:rsidP="00E45A03">
            <w:pPr>
              <w:suppressAutoHyphens/>
              <w:spacing w:line="360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57,4</w:t>
            </w:r>
          </w:p>
        </w:tc>
      </w:tr>
    </w:tbl>
    <w:p w14:paraId="0772EDE2" w14:textId="77777777" w:rsidR="00D72D5B" w:rsidRPr="0097264C" w:rsidRDefault="00D72D5B" w:rsidP="00D72D5B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</w:p>
    <w:p w14:paraId="5F1CBA76" w14:textId="42FAA20B" w:rsidR="00D72D5B" w:rsidRPr="002F292B" w:rsidRDefault="00D72D5B" w:rsidP="00D72D5B">
      <w:pPr>
        <w:suppressAutoHyphens/>
        <w:spacing w:line="360" w:lineRule="auto"/>
        <w:jc w:val="both"/>
        <w:rPr>
          <w:rFonts w:ascii="Arial" w:eastAsia="Calibri" w:hAnsi="Arial" w:cs="Arial"/>
          <w:lang w:eastAsia="zh-CN"/>
        </w:rPr>
      </w:pPr>
      <w:r w:rsidRPr="002F292B">
        <w:rPr>
          <w:rFonts w:ascii="Arial" w:eastAsia="Calibri" w:hAnsi="Arial" w:cs="Arial"/>
          <w:lang w:eastAsia="zh-CN"/>
        </w:rPr>
        <w:t xml:space="preserve">    </w:t>
      </w:r>
      <w:bookmarkStart w:id="2" w:name="_Hlk162508303"/>
      <w:r w:rsidRPr="002F292B">
        <w:rPr>
          <w:rFonts w:ascii="Arial" w:eastAsia="Calibri" w:hAnsi="Arial" w:cs="Arial"/>
          <w:lang w:eastAsia="zh-CN"/>
        </w:rPr>
        <w:t>Prema izvorima financiranja, prihodi za razdoblje 01.01.-3</w:t>
      </w:r>
      <w:r w:rsidR="00A37EF9">
        <w:rPr>
          <w:rFonts w:ascii="Arial" w:eastAsia="Calibri" w:hAnsi="Arial" w:cs="Arial"/>
          <w:lang w:eastAsia="zh-CN"/>
        </w:rPr>
        <w:t>0</w:t>
      </w:r>
      <w:r w:rsidRPr="002F292B">
        <w:rPr>
          <w:rFonts w:ascii="Arial" w:eastAsia="Calibri" w:hAnsi="Arial" w:cs="Arial"/>
          <w:lang w:eastAsia="zh-CN"/>
        </w:rPr>
        <w:t>.</w:t>
      </w:r>
      <w:r w:rsidR="00A37EF9">
        <w:rPr>
          <w:rFonts w:ascii="Arial" w:eastAsia="Calibri" w:hAnsi="Arial" w:cs="Arial"/>
          <w:lang w:eastAsia="zh-CN"/>
        </w:rPr>
        <w:t>06</w:t>
      </w:r>
      <w:r w:rsidRPr="002F292B">
        <w:rPr>
          <w:rFonts w:ascii="Arial" w:eastAsia="Calibri" w:hAnsi="Arial" w:cs="Arial"/>
          <w:lang w:eastAsia="zh-CN"/>
        </w:rPr>
        <w:t>.202</w:t>
      </w:r>
      <w:r w:rsidR="00A37EF9">
        <w:rPr>
          <w:rFonts w:ascii="Arial" w:eastAsia="Calibri" w:hAnsi="Arial" w:cs="Arial"/>
          <w:lang w:eastAsia="zh-CN"/>
        </w:rPr>
        <w:t>4</w:t>
      </w:r>
      <w:r w:rsidRPr="002F292B">
        <w:rPr>
          <w:rFonts w:ascii="Arial" w:eastAsia="Calibri" w:hAnsi="Arial" w:cs="Arial"/>
          <w:lang w:eastAsia="zh-CN"/>
        </w:rPr>
        <w:t>. godinu ostvareni su kako slijedi:</w:t>
      </w:r>
    </w:p>
    <w:p w14:paraId="6C2A2605" w14:textId="77777777" w:rsidR="00D72D5B" w:rsidRPr="002F292B" w:rsidRDefault="00D72D5B" w:rsidP="00D72D5B">
      <w:pPr>
        <w:suppressAutoHyphens/>
        <w:jc w:val="both"/>
        <w:rPr>
          <w:rFonts w:ascii="Arial" w:eastAsia="Calibri" w:hAnsi="Arial" w:cs="Arial"/>
          <w:lang w:eastAsia="zh-CN"/>
        </w:rPr>
      </w:pPr>
      <w:r w:rsidRPr="002F292B">
        <w:rPr>
          <w:rFonts w:ascii="Arial" w:eastAsia="Calibri" w:hAnsi="Arial" w:cs="Arial"/>
          <w:lang w:eastAsia="zh-CN"/>
        </w:rPr>
        <w:t xml:space="preserve">             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984"/>
        <w:gridCol w:w="1560"/>
        <w:gridCol w:w="1134"/>
      </w:tblGrid>
      <w:tr w:rsidR="00D72D5B" w:rsidRPr="002F292B" w14:paraId="3F9761A6" w14:textId="77777777" w:rsidTr="003854D8">
        <w:trPr>
          <w:trHeight w:val="594"/>
        </w:trPr>
        <w:tc>
          <w:tcPr>
            <w:tcW w:w="4962" w:type="dxa"/>
            <w:shd w:val="clear" w:color="auto" w:fill="auto"/>
          </w:tcPr>
          <w:p w14:paraId="28016FE6" w14:textId="77777777" w:rsidR="00D72D5B" w:rsidRPr="002F292B" w:rsidRDefault="00D72D5B" w:rsidP="003854D8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Izvor financiranja</w:t>
            </w:r>
          </w:p>
        </w:tc>
        <w:tc>
          <w:tcPr>
            <w:tcW w:w="1984" w:type="dxa"/>
          </w:tcPr>
          <w:p w14:paraId="5A2E9B8D" w14:textId="1FC9291F" w:rsidR="00D72D5B" w:rsidRPr="004A7D80" w:rsidRDefault="00D72D5B" w:rsidP="003854D8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4A7D80">
              <w:rPr>
                <w:rFonts w:ascii="Arial" w:eastAsia="Calibri" w:hAnsi="Arial" w:cs="Arial"/>
                <w:sz w:val="22"/>
                <w:szCs w:val="22"/>
                <w:lang w:eastAsia="zh-CN"/>
              </w:rPr>
              <w:t>Godišnji plan 202</w:t>
            </w:r>
            <w:r w:rsidR="00A37EF9">
              <w:rPr>
                <w:rFonts w:ascii="Arial" w:eastAsia="Calibri" w:hAnsi="Arial" w:cs="Arial"/>
                <w:sz w:val="22"/>
                <w:szCs w:val="22"/>
                <w:lang w:eastAsia="zh-CN"/>
              </w:rPr>
              <w:t>4</w:t>
            </w:r>
            <w:r w:rsidRPr="004A7D80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1560" w:type="dxa"/>
          </w:tcPr>
          <w:p w14:paraId="30BC49AB" w14:textId="6490CF84" w:rsidR="00A37EF9" w:rsidRDefault="00A37EF9" w:rsidP="00A37EF9">
            <w:pPr>
              <w:suppressAutoHyphens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   </w:t>
            </w: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Izvršenje </w:t>
            </w:r>
          </w:p>
          <w:p w14:paraId="491257A0" w14:textId="4262E183" w:rsidR="00D72D5B" w:rsidRPr="002F292B" w:rsidRDefault="00A37EF9" w:rsidP="00A37EF9">
            <w:pPr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 </w:t>
            </w:r>
            <w:r w:rsidRPr="009928E7">
              <w:rPr>
                <w:rFonts w:ascii="Arial" w:eastAsia="Calibri" w:hAnsi="Arial" w:cs="Arial"/>
                <w:sz w:val="22"/>
                <w:szCs w:val="22"/>
                <w:lang w:eastAsia="zh-CN"/>
              </w:rPr>
              <w:t>I.– VI.2024</w:t>
            </w:r>
          </w:p>
        </w:tc>
        <w:tc>
          <w:tcPr>
            <w:tcW w:w="1134" w:type="dxa"/>
            <w:shd w:val="clear" w:color="auto" w:fill="auto"/>
          </w:tcPr>
          <w:p w14:paraId="5FB86213" w14:textId="77777777" w:rsidR="00D72D5B" w:rsidRPr="002F292B" w:rsidRDefault="00D72D5B" w:rsidP="003854D8">
            <w:pPr>
              <w:suppressAutoHyphens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Indeks %</w:t>
            </w:r>
          </w:p>
        </w:tc>
      </w:tr>
      <w:tr w:rsidR="00D72D5B" w:rsidRPr="002F292B" w14:paraId="276073CD" w14:textId="77777777" w:rsidTr="003854D8">
        <w:tc>
          <w:tcPr>
            <w:tcW w:w="4962" w:type="dxa"/>
            <w:shd w:val="clear" w:color="auto" w:fill="auto"/>
          </w:tcPr>
          <w:p w14:paraId="2D89E29D" w14:textId="77777777" w:rsidR="00D72D5B" w:rsidRPr="004A7D80" w:rsidRDefault="00D72D5B" w:rsidP="003854D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</w:pPr>
            <w:r w:rsidRPr="004A7D80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UKUPNI PRIHODI</w:t>
            </w:r>
          </w:p>
        </w:tc>
        <w:tc>
          <w:tcPr>
            <w:tcW w:w="1984" w:type="dxa"/>
            <w:shd w:val="clear" w:color="auto" w:fill="auto"/>
          </w:tcPr>
          <w:p w14:paraId="1DC77B8D" w14:textId="6FC8C0D0" w:rsidR="00D72D5B" w:rsidRPr="004A7D80" w:rsidRDefault="00D72D5B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</w:pPr>
            <w:r w:rsidRPr="004A7D80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7.</w:t>
            </w:r>
            <w:r w:rsidR="00A37EF9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295</w:t>
            </w:r>
            <w:r w:rsidRPr="004A7D80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.</w:t>
            </w:r>
            <w:r w:rsidR="00A37EF9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813</w:t>
            </w:r>
            <w:r w:rsidRPr="004A7D80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60" w:type="dxa"/>
          </w:tcPr>
          <w:p w14:paraId="08DB93E3" w14:textId="6E99635C" w:rsidR="00D72D5B" w:rsidRPr="004A7D80" w:rsidRDefault="00A37EF9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3</w:t>
            </w:r>
            <w:r w:rsidR="00D72D5B" w:rsidRPr="004A7D80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759</w:t>
            </w:r>
            <w:r w:rsidR="00D72D5B" w:rsidRPr="004A7D80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225,50</w:t>
            </w:r>
          </w:p>
        </w:tc>
        <w:tc>
          <w:tcPr>
            <w:tcW w:w="1134" w:type="dxa"/>
            <w:shd w:val="clear" w:color="auto" w:fill="auto"/>
          </w:tcPr>
          <w:p w14:paraId="6AC51FC3" w14:textId="68756E76" w:rsidR="00D72D5B" w:rsidRPr="004A7D80" w:rsidRDefault="00A37EF9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51,5</w:t>
            </w:r>
          </w:p>
        </w:tc>
      </w:tr>
      <w:tr w:rsidR="00D72D5B" w:rsidRPr="002F292B" w14:paraId="043AC73D" w14:textId="77777777" w:rsidTr="003854D8">
        <w:tc>
          <w:tcPr>
            <w:tcW w:w="4962" w:type="dxa"/>
            <w:shd w:val="clear" w:color="auto" w:fill="auto"/>
          </w:tcPr>
          <w:p w14:paraId="3A4751F8" w14:textId="77777777" w:rsidR="00D72D5B" w:rsidRPr="002F292B" w:rsidRDefault="00D72D5B" w:rsidP="003854D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Opći prihodi i primici – županijski proračun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(11)</w:t>
            </w:r>
          </w:p>
        </w:tc>
        <w:tc>
          <w:tcPr>
            <w:tcW w:w="1984" w:type="dxa"/>
            <w:shd w:val="clear" w:color="auto" w:fill="auto"/>
          </w:tcPr>
          <w:p w14:paraId="5D207068" w14:textId="7741DBDA" w:rsidR="00D72D5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167.083,00</w:t>
            </w:r>
          </w:p>
          <w:p w14:paraId="40853367" w14:textId="77777777" w:rsidR="00D72D5B" w:rsidRPr="002F292B" w:rsidRDefault="00D72D5B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1560" w:type="dxa"/>
          </w:tcPr>
          <w:p w14:paraId="5111C64A" w14:textId="4692A283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7.142,50</w:t>
            </w:r>
          </w:p>
        </w:tc>
        <w:tc>
          <w:tcPr>
            <w:tcW w:w="1134" w:type="dxa"/>
            <w:shd w:val="clear" w:color="auto" w:fill="auto"/>
          </w:tcPr>
          <w:p w14:paraId="31F0F6DA" w14:textId="61921B2B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4,3</w:t>
            </w:r>
          </w:p>
        </w:tc>
      </w:tr>
      <w:tr w:rsidR="00D72D5B" w:rsidRPr="002F292B" w14:paraId="3385CA0C" w14:textId="77777777" w:rsidTr="003854D8">
        <w:tc>
          <w:tcPr>
            <w:tcW w:w="4962" w:type="dxa"/>
            <w:shd w:val="clear" w:color="auto" w:fill="auto"/>
          </w:tcPr>
          <w:p w14:paraId="5DFA31EB" w14:textId="77777777" w:rsidR="00D72D5B" w:rsidRPr="002F292B" w:rsidRDefault="00D72D5B" w:rsidP="003854D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Opći prihodi i primici – decentralizirana sredstva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(44)</w:t>
            </w:r>
          </w:p>
        </w:tc>
        <w:tc>
          <w:tcPr>
            <w:tcW w:w="1984" w:type="dxa"/>
            <w:shd w:val="clear" w:color="auto" w:fill="auto"/>
          </w:tcPr>
          <w:p w14:paraId="6259FE81" w14:textId="7A1F22AB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133.888,00</w:t>
            </w:r>
          </w:p>
        </w:tc>
        <w:tc>
          <w:tcPr>
            <w:tcW w:w="1560" w:type="dxa"/>
          </w:tcPr>
          <w:p w14:paraId="3185778D" w14:textId="3498CC82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76.253,96</w:t>
            </w:r>
          </w:p>
        </w:tc>
        <w:tc>
          <w:tcPr>
            <w:tcW w:w="1134" w:type="dxa"/>
            <w:shd w:val="clear" w:color="auto" w:fill="auto"/>
          </w:tcPr>
          <w:p w14:paraId="68482A25" w14:textId="3D0CAD69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57,0</w:t>
            </w:r>
          </w:p>
        </w:tc>
      </w:tr>
      <w:tr w:rsidR="00D72D5B" w:rsidRPr="002F292B" w14:paraId="6B39F752" w14:textId="77777777" w:rsidTr="003854D8">
        <w:tc>
          <w:tcPr>
            <w:tcW w:w="4962" w:type="dxa"/>
            <w:shd w:val="clear" w:color="auto" w:fill="auto"/>
          </w:tcPr>
          <w:p w14:paraId="2EA50AD3" w14:textId="77777777" w:rsidR="00D72D5B" w:rsidRPr="002F292B" w:rsidRDefault="00D72D5B" w:rsidP="003854D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Vlastiti prihodi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 (31)</w:t>
            </w:r>
          </w:p>
        </w:tc>
        <w:tc>
          <w:tcPr>
            <w:tcW w:w="1984" w:type="dxa"/>
            <w:shd w:val="clear" w:color="auto" w:fill="auto"/>
          </w:tcPr>
          <w:p w14:paraId="0C9CF9AD" w14:textId="3B77C300" w:rsidR="00D72D5B" w:rsidRPr="002F292B" w:rsidRDefault="00D72D5B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88</w:t>
            </w:r>
            <w:r w:rsidR="009C36F4">
              <w:rPr>
                <w:rFonts w:ascii="Arial" w:eastAsia="Calibri" w:hAnsi="Arial" w:cs="Arial"/>
                <w:sz w:val="22"/>
                <w:szCs w:val="22"/>
                <w:lang w:eastAsia="zh-CN"/>
              </w:rPr>
              <w:t>3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 w:rsidR="009C36F4">
              <w:rPr>
                <w:rFonts w:ascii="Arial" w:eastAsia="Calibri" w:hAnsi="Arial" w:cs="Arial"/>
                <w:sz w:val="22"/>
                <w:szCs w:val="22"/>
                <w:lang w:eastAsia="zh-CN"/>
              </w:rPr>
              <w:t>262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60" w:type="dxa"/>
          </w:tcPr>
          <w:p w14:paraId="7D231E16" w14:textId="72EAD766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386</w:t>
            </w:r>
            <w:r w:rsidR="00D72D5B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350,26</w:t>
            </w:r>
          </w:p>
        </w:tc>
        <w:tc>
          <w:tcPr>
            <w:tcW w:w="1134" w:type="dxa"/>
            <w:shd w:val="clear" w:color="auto" w:fill="auto"/>
          </w:tcPr>
          <w:p w14:paraId="474633B1" w14:textId="7B8323BC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53,1</w:t>
            </w:r>
          </w:p>
        </w:tc>
      </w:tr>
      <w:tr w:rsidR="00D72D5B" w:rsidRPr="002F292B" w14:paraId="03143546" w14:textId="77777777" w:rsidTr="003854D8">
        <w:tc>
          <w:tcPr>
            <w:tcW w:w="4962" w:type="dxa"/>
            <w:shd w:val="clear" w:color="auto" w:fill="auto"/>
          </w:tcPr>
          <w:p w14:paraId="29D205D1" w14:textId="77777777" w:rsidR="00D72D5B" w:rsidRPr="002F292B" w:rsidRDefault="00D72D5B" w:rsidP="003854D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Ostali prihodi za posebne namjene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(43)</w:t>
            </w:r>
          </w:p>
        </w:tc>
        <w:tc>
          <w:tcPr>
            <w:tcW w:w="1984" w:type="dxa"/>
            <w:shd w:val="clear" w:color="auto" w:fill="auto"/>
          </w:tcPr>
          <w:p w14:paraId="7935F4AB" w14:textId="17FB9952" w:rsidR="00D72D5B" w:rsidRPr="002F292B" w:rsidRDefault="00D72D5B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5.</w:t>
            </w:r>
            <w:r w:rsidR="009C36F4">
              <w:rPr>
                <w:rFonts w:ascii="Arial" w:eastAsia="Calibri" w:hAnsi="Arial" w:cs="Arial"/>
                <w:sz w:val="22"/>
                <w:szCs w:val="22"/>
                <w:lang w:eastAsia="zh-CN"/>
              </w:rPr>
              <w:t>827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 w:rsidR="009C36F4">
              <w:rPr>
                <w:rFonts w:ascii="Arial" w:eastAsia="Calibri" w:hAnsi="Arial" w:cs="Arial"/>
                <w:sz w:val="22"/>
                <w:szCs w:val="22"/>
                <w:lang w:eastAsia="zh-CN"/>
              </w:rPr>
              <w:t>149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60" w:type="dxa"/>
          </w:tcPr>
          <w:p w14:paraId="25F84AD8" w14:textId="0B373AA6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3</w:t>
            </w:r>
            <w:r w:rsidR="00D72D5B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089</w:t>
            </w:r>
            <w:r w:rsidR="00D72D5B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036,68</w:t>
            </w:r>
          </w:p>
        </w:tc>
        <w:tc>
          <w:tcPr>
            <w:tcW w:w="1134" w:type="dxa"/>
            <w:shd w:val="clear" w:color="auto" w:fill="auto"/>
          </w:tcPr>
          <w:p w14:paraId="415C0AB9" w14:textId="658AE851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53,0</w:t>
            </w:r>
          </w:p>
        </w:tc>
      </w:tr>
      <w:tr w:rsidR="00D72D5B" w:rsidRPr="002F292B" w14:paraId="3FD1A645" w14:textId="77777777" w:rsidTr="003854D8">
        <w:tc>
          <w:tcPr>
            <w:tcW w:w="4962" w:type="dxa"/>
            <w:shd w:val="clear" w:color="auto" w:fill="auto"/>
          </w:tcPr>
          <w:p w14:paraId="394C7EA5" w14:textId="77777777" w:rsidR="00D72D5B" w:rsidRPr="002F292B" w:rsidRDefault="00D72D5B" w:rsidP="003854D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Pomoći EU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 (51)</w:t>
            </w:r>
          </w:p>
        </w:tc>
        <w:tc>
          <w:tcPr>
            <w:tcW w:w="1984" w:type="dxa"/>
            <w:shd w:val="clear" w:color="auto" w:fill="auto"/>
          </w:tcPr>
          <w:p w14:paraId="46A34CF8" w14:textId="7E46B5A1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244</w:t>
            </w:r>
            <w:r w:rsidR="00D72D5B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360</w:t>
            </w:r>
            <w:r w:rsidR="00D72D5B">
              <w:rPr>
                <w:rFonts w:ascii="Arial" w:eastAsia="Calibri" w:hAnsi="Arial" w:cs="Arial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60" w:type="dxa"/>
          </w:tcPr>
          <w:p w14:paraId="01CCAC73" w14:textId="32C331E8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158</w:t>
            </w:r>
            <w:r w:rsidR="00D72D5B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917,03</w:t>
            </w:r>
          </w:p>
        </w:tc>
        <w:tc>
          <w:tcPr>
            <w:tcW w:w="1134" w:type="dxa"/>
            <w:shd w:val="clear" w:color="auto" w:fill="auto"/>
          </w:tcPr>
          <w:p w14:paraId="24006FE7" w14:textId="15424829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65,0</w:t>
            </w:r>
          </w:p>
        </w:tc>
      </w:tr>
      <w:tr w:rsidR="00D72D5B" w:rsidRPr="002F292B" w14:paraId="4DB02173" w14:textId="77777777" w:rsidTr="003854D8">
        <w:tc>
          <w:tcPr>
            <w:tcW w:w="4962" w:type="dxa"/>
            <w:shd w:val="clear" w:color="auto" w:fill="auto"/>
          </w:tcPr>
          <w:p w14:paraId="68E47C22" w14:textId="77777777" w:rsidR="00D72D5B" w:rsidRPr="002F292B" w:rsidRDefault="00D72D5B" w:rsidP="003854D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Ostale pomoći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(52)</w:t>
            </w:r>
          </w:p>
        </w:tc>
        <w:tc>
          <w:tcPr>
            <w:tcW w:w="1984" w:type="dxa"/>
            <w:shd w:val="clear" w:color="auto" w:fill="auto"/>
          </w:tcPr>
          <w:p w14:paraId="207B00BE" w14:textId="7E8233D0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34.500</w:t>
            </w:r>
            <w:r w:rsidR="00D72D5B">
              <w:rPr>
                <w:rFonts w:ascii="Arial" w:eastAsia="Calibri" w:hAnsi="Arial" w:cs="Arial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60" w:type="dxa"/>
          </w:tcPr>
          <w:p w14:paraId="29D82B14" w14:textId="48A4B03E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36.111,03</w:t>
            </w:r>
          </w:p>
        </w:tc>
        <w:tc>
          <w:tcPr>
            <w:tcW w:w="1134" w:type="dxa"/>
            <w:shd w:val="clear" w:color="auto" w:fill="auto"/>
          </w:tcPr>
          <w:p w14:paraId="64F95EA1" w14:textId="4F85EF00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104,7</w:t>
            </w:r>
          </w:p>
        </w:tc>
      </w:tr>
      <w:tr w:rsidR="00D72D5B" w:rsidRPr="002F292B" w14:paraId="2C3D7E5E" w14:textId="77777777" w:rsidTr="003854D8">
        <w:tc>
          <w:tcPr>
            <w:tcW w:w="4962" w:type="dxa"/>
            <w:shd w:val="clear" w:color="auto" w:fill="auto"/>
          </w:tcPr>
          <w:p w14:paraId="7900263F" w14:textId="77777777" w:rsidR="00D72D5B" w:rsidRPr="002F292B" w:rsidRDefault="00D72D5B" w:rsidP="003854D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Donacije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(61)</w:t>
            </w:r>
          </w:p>
        </w:tc>
        <w:tc>
          <w:tcPr>
            <w:tcW w:w="1984" w:type="dxa"/>
            <w:shd w:val="clear" w:color="auto" w:fill="auto"/>
          </w:tcPr>
          <w:p w14:paraId="15C82731" w14:textId="5D2D6E4D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2.000</w:t>
            </w:r>
            <w:r w:rsidR="00D72D5B">
              <w:rPr>
                <w:rFonts w:ascii="Arial" w:eastAsia="Calibri" w:hAnsi="Arial" w:cs="Arial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60" w:type="dxa"/>
          </w:tcPr>
          <w:p w14:paraId="3A943048" w14:textId="7769BCB7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3.650</w:t>
            </w:r>
            <w:r w:rsidR="00D72D5B">
              <w:rPr>
                <w:rFonts w:ascii="Arial" w:eastAsia="Calibri" w:hAnsi="Arial" w:cs="Arial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134" w:type="dxa"/>
            <w:shd w:val="clear" w:color="auto" w:fill="auto"/>
          </w:tcPr>
          <w:p w14:paraId="620D1DCF" w14:textId="306C732A" w:rsidR="00D72D5B" w:rsidRPr="002F292B" w:rsidRDefault="009C36F4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182,5</w:t>
            </w:r>
          </w:p>
        </w:tc>
      </w:tr>
      <w:tr w:rsidR="00D72D5B" w:rsidRPr="002F292B" w14:paraId="2DB3FF40" w14:textId="77777777" w:rsidTr="003854D8">
        <w:tc>
          <w:tcPr>
            <w:tcW w:w="4962" w:type="dxa"/>
            <w:shd w:val="clear" w:color="auto" w:fill="auto"/>
          </w:tcPr>
          <w:p w14:paraId="4E25B2C4" w14:textId="77777777" w:rsidR="00D72D5B" w:rsidRPr="002F292B" w:rsidRDefault="00D72D5B" w:rsidP="003854D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Prihodi od nefinancijske imovine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i naknade šteta s osnove osiguranja (71,72)</w:t>
            </w:r>
          </w:p>
        </w:tc>
        <w:tc>
          <w:tcPr>
            <w:tcW w:w="1984" w:type="dxa"/>
            <w:shd w:val="clear" w:color="auto" w:fill="auto"/>
          </w:tcPr>
          <w:p w14:paraId="1747E225" w14:textId="0FB49379" w:rsidR="00D72D5B" w:rsidRPr="002F292B" w:rsidRDefault="00D72D5B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3.</w:t>
            </w:r>
            <w:r w:rsidR="009C36F4">
              <w:rPr>
                <w:rFonts w:ascii="Arial" w:eastAsia="Calibri" w:hAnsi="Arial" w:cs="Arial"/>
                <w:sz w:val="22"/>
                <w:szCs w:val="22"/>
                <w:lang w:eastAsia="zh-CN"/>
              </w:rPr>
              <w:t>571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560" w:type="dxa"/>
          </w:tcPr>
          <w:p w14:paraId="3BBB7038" w14:textId="18A8A14A" w:rsidR="00D72D5B" w:rsidRPr="002F292B" w:rsidRDefault="00346946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1</w:t>
            </w:r>
            <w:r w:rsidR="00D72D5B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764,04</w:t>
            </w:r>
          </w:p>
        </w:tc>
        <w:tc>
          <w:tcPr>
            <w:tcW w:w="1134" w:type="dxa"/>
            <w:shd w:val="clear" w:color="auto" w:fill="auto"/>
          </w:tcPr>
          <w:p w14:paraId="20CCF8D3" w14:textId="202F96A4" w:rsidR="00D72D5B" w:rsidRPr="002F292B" w:rsidRDefault="00346946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49,4</w:t>
            </w:r>
          </w:p>
          <w:p w14:paraId="72728061" w14:textId="77777777" w:rsidR="00D72D5B" w:rsidRPr="002F292B" w:rsidRDefault="00D72D5B" w:rsidP="003854D8">
            <w:pPr>
              <w:suppressAutoHyphens/>
              <w:spacing w:line="276" w:lineRule="auto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</w:p>
        </w:tc>
      </w:tr>
      <w:bookmarkEnd w:id="2"/>
    </w:tbl>
    <w:p w14:paraId="634403D1" w14:textId="77777777" w:rsidR="007549FC" w:rsidRDefault="007549FC" w:rsidP="00744DDE">
      <w:pPr>
        <w:widowControl w:val="0"/>
        <w:suppressAutoHyphens/>
        <w:autoSpaceDE w:val="0"/>
        <w:spacing w:line="360" w:lineRule="auto"/>
        <w:ind w:right="-213"/>
        <w:rPr>
          <w:rFonts w:ascii="Arial" w:hAnsi="Arial" w:cs="Arial"/>
          <w:lang w:eastAsia="ar-SA"/>
        </w:rPr>
      </w:pPr>
    </w:p>
    <w:p w14:paraId="2418B406" w14:textId="43536109" w:rsidR="00887636" w:rsidRDefault="00887636" w:rsidP="00744DDE">
      <w:pPr>
        <w:widowControl w:val="0"/>
        <w:suppressAutoHyphens/>
        <w:autoSpaceDE w:val="0"/>
        <w:spacing w:line="360" w:lineRule="auto"/>
        <w:ind w:right="-213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lastRenderedPageBreak/>
        <w:t xml:space="preserve">Ostali prihodi za posebne namjene ( 43 ) </w:t>
      </w:r>
      <w:r w:rsidR="00AE478A">
        <w:rPr>
          <w:rFonts w:ascii="Arial" w:hAnsi="Arial" w:cs="Arial"/>
          <w:lang w:eastAsia="ar-SA"/>
        </w:rPr>
        <w:t>čine 82,</w:t>
      </w:r>
      <w:r w:rsidR="00CB3D91">
        <w:rPr>
          <w:rFonts w:ascii="Arial" w:hAnsi="Arial" w:cs="Arial"/>
          <w:lang w:eastAsia="ar-SA"/>
        </w:rPr>
        <w:t>2</w:t>
      </w:r>
      <w:r w:rsidR="00AE478A">
        <w:rPr>
          <w:rFonts w:ascii="Arial" w:hAnsi="Arial" w:cs="Arial"/>
          <w:lang w:eastAsia="ar-SA"/>
        </w:rPr>
        <w:t>% ukupn</w:t>
      </w:r>
      <w:r w:rsidR="0081156F">
        <w:rPr>
          <w:rFonts w:ascii="Arial" w:hAnsi="Arial" w:cs="Arial"/>
          <w:lang w:eastAsia="ar-SA"/>
        </w:rPr>
        <w:t xml:space="preserve">ih prihoda ostvarenih u prvom polugodištu ove godine, a </w:t>
      </w:r>
      <w:r>
        <w:rPr>
          <w:rFonts w:ascii="Arial" w:hAnsi="Arial" w:cs="Arial"/>
          <w:lang w:eastAsia="ar-SA"/>
        </w:rPr>
        <w:t xml:space="preserve">odnose se na prihode od HZZO i dopunskog zdravstvenog osiguranja, prihode od naplaćene participacije i ostale prihode po posebnim propisima. </w:t>
      </w:r>
    </w:p>
    <w:p w14:paraId="0B894ABD" w14:textId="77777777" w:rsidR="00863859" w:rsidRDefault="00863859" w:rsidP="00744DDE">
      <w:pPr>
        <w:widowControl w:val="0"/>
        <w:suppressAutoHyphens/>
        <w:autoSpaceDE w:val="0"/>
        <w:spacing w:line="360" w:lineRule="auto"/>
        <w:ind w:right="-213"/>
        <w:rPr>
          <w:rFonts w:ascii="Arial" w:hAnsi="Arial" w:cs="Arial"/>
          <w:lang w:eastAsia="ar-SA"/>
        </w:rPr>
      </w:pPr>
    </w:p>
    <w:p w14:paraId="1E23B356" w14:textId="60E686C0" w:rsidR="00744DDE" w:rsidRDefault="00744DDE" w:rsidP="00744DDE">
      <w:pPr>
        <w:widowControl w:val="0"/>
        <w:suppressAutoHyphens/>
        <w:autoSpaceDE w:val="0"/>
        <w:spacing w:line="360" w:lineRule="auto"/>
        <w:ind w:right="-213"/>
        <w:rPr>
          <w:rFonts w:ascii="Arial" w:hAnsi="Arial" w:cs="Arial"/>
          <w:lang w:eastAsia="ar-SA"/>
        </w:rPr>
      </w:pPr>
      <w:r w:rsidRPr="00744DDE">
        <w:rPr>
          <w:rFonts w:ascii="Arial" w:hAnsi="Arial" w:cs="Arial"/>
          <w:lang w:eastAsia="ar-SA"/>
        </w:rPr>
        <w:t>Prihodi od HZZO iznose 2.</w:t>
      </w:r>
      <w:r>
        <w:rPr>
          <w:rFonts w:ascii="Arial" w:hAnsi="Arial" w:cs="Arial"/>
          <w:lang w:eastAsia="ar-SA"/>
        </w:rPr>
        <w:t>948</w:t>
      </w:r>
      <w:r w:rsidRPr="00744DDE">
        <w:rPr>
          <w:rFonts w:ascii="Arial" w:hAnsi="Arial" w:cs="Arial"/>
          <w:lang w:eastAsia="ar-SA"/>
        </w:rPr>
        <w:t>.</w:t>
      </w:r>
      <w:r>
        <w:rPr>
          <w:rFonts w:ascii="Arial" w:hAnsi="Arial" w:cs="Arial"/>
          <w:lang w:eastAsia="ar-SA"/>
        </w:rPr>
        <w:t>800,34</w:t>
      </w:r>
      <w:r w:rsidRPr="00744DDE">
        <w:rPr>
          <w:rFonts w:ascii="Arial" w:hAnsi="Arial" w:cs="Arial"/>
          <w:lang w:eastAsia="ar-SA"/>
        </w:rPr>
        <w:t xml:space="preserve"> eura, čine 7</w:t>
      </w:r>
      <w:r>
        <w:rPr>
          <w:rFonts w:ascii="Arial" w:hAnsi="Arial" w:cs="Arial"/>
          <w:lang w:eastAsia="ar-SA"/>
        </w:rPr>
        <w:t>8,4</w:t>
      </w:r>
      <w:r w:rsidRPr="00744DDE">
        <w:rPr>
          <w:rFonts w:ascii="Arial" w:hAnsi="Arial" w:cs="Arial"/>
          <w:lang w:eastAsia="ar-SA"/>
        </w:rPr>
        <w:t>% ukupno ostvarenih prihoda, a u odnosu na isto razdoblje prethodne godine veći su za 22,</w:t>
      </w:r>
      <w:r w:rsidR="00CB3D91">
        <w:rPr>
          <w:rFonts w:ascii="Arial" w:hAnsi="Arial" w:cs="Arial"/>
          <w:lang w:eastAsia="ar-SA"/>
        </w:rPr>
        <w:t>3</w:t>
      </w:r>
      <w:r w:rsidRPr="00744DDE">
        <w:rPr>
          <w:rFonts w:ascii="Arial" w:hAnsi="Arial" w:cs="Arial"/>
          <w:lang w:eastAsia="ar-SA"/>
        </w:rPr>
        <w:t>%, zbog većeg broja ugovorenih timova primarne zdravstvene zaštite u 2024. godini (1 tim opće/obiteljske medicine i 1 tim zdravstvene zaštite djece predškolske dobi, 1 tim dentalne zdravstvene zaštite), te povećanja cijena odnosno ugovorenih iznosa s Hrvatskim zavodom za zdravstveno osiguranje.</w:t>
      </w:r>
    </w:p>
    <w:p w14:paraId="31B48818" w14:textId="77777777" w:rsidR="00863859" w:rsidRPr="00744DDE" w:rsidRDefault="00863859" w:rsidP="00744DDE">
      <w:pPr>
        <w:widowControl w:val="0"/>
        <w:suppressAutoHyphens/>
        <w:autoSpaceDE w:val="0"/>
        <w:spacing w:line="360" w:lineRule="auto"/>
        <w:ind w:right="-213"/>
        <w:rPr>
          <w:rFonts w:ascii="Arial" w:hAnsi="Arial" w:cs="Arial"/>
          <w:lang w:eastAsia="ar-SA"/>
        </w:rPr>
      </w:pPr>
    </w:p>
    <w:p w14:paraId="3B1D0A8F" w14:textId="36A0392C" w:rsidR="00A16678" w:rsidRDefault="00744DDE" w:rsidP="00744DDE">
      <w:pPr>
        <w:widowControl w:val="0"/>
        <w:suppressAutoHyphens/>
        <w:autoSpaceDE w:val="0"/>
        <w:spacing w:line="360" w:lineRule="auto"/>
        <w:ind w:right="-213"/>
        <w:rPr>
          <w:rFonts w:ascii="Arial" w:hAnsi="Arial" w:cs="Arial"/>
          <w:lang w:eastAsia="ar-SA"/>
        </w:rPr>
      </w:pPr>
      <w:r w:rsidRPr="00744DDE">
        <w:rPr>
          <w:rFonts w:ascii="Arial" w:hAnsi="Arial" w:cs="Arial"/>
          <w:lang w:eastAsia="ar-SA"/>
        </w:rPr>
        <w:t>Prihodi od dopunskog zdravstvenog osiguranja iznose 1</w:t>
      </w:r>
      <w:r>
        <w:rPr>
          <w:rFonts w:ascii="Arial" w:hAnsi="Arial" w:cs="Arial"/>
          <w:lang w:eastAsia="ar-SA"/>
        </w:rPr>
        <w:t>37</w:t>
      </w:r>
      <w:r w:rsidRPr="00744DDE">
        <w:rPr>
          <w:rFonts w:ascii="Arial" w:hAnsi="Arial" w:cs="Arial"/>
          <w:lang w:eastAsia="ar-SA"/>
        </w:rPr>
        <w:t>.</w:t>
      </w:r>
      <w:r>
        <w:rPr>
          <w:rFonts w:ascii="Arial" w:hAnsi="Arial" w:cs="Arial"/>
          <w:lang w:eastAsia="ar-SA"/>
        </w:rPr>
        <w:t>566,81</w:t>
      </w:r>
      <w:r w:rsidRPr="00744DDE">
        <w:rPr>
          <w:rFonts w:ascii="Arial" w:hAnsi="Arial" w:cs="Arial"/>
          <w:lang w:eastAsia="ar-SA"/>
        </w:rPr>
        <w:t xml:space="preserve"> eura i  čine 3,</w:t>
      </w:r>
      <w:r w:rsidR="00CB3D91">
        <w:rPr>
          <w:rFonts w:ascii="Arial" w:hAnsi="Arial" w:cs="Arial"/>
          <w:lang w:eastAsia="ar-SA"/>
        </w:rPr>
        <w:t>7</w:t>
      </w:r>
      <w:r w:rsidRPr="00744DDE">
        <w:rPr>
          <w:rFonts w:ascii="Arial" w:hAnsi="Arial" w:cs="Arial"/>
          <w:lang w:eastAsia="ar-SA"/>
        </w:rPr>
        <w:t>% ukupnih prihoda</w:t>
      </w:r>
      <w:r w:rsidR="00A16678">
        <w:rPr>
          <w:rFonts w:ascii="Arial" w:hAnsi="Arial" w:cs="Arial"/>
          <w:lang w:eastAsia="ar-SA"/>
        </w:rPr>
        <w:t>, u odnosu na isto razdoblje prošle godine veći su za 40,6%</w:t>
      </w:r>
      <w:r w:rsidR="00887636">
        <w:rPr>
          <w:rFonts w:ascii="Arial" w:hAnsi="Arial" w:cs="Arial"/>
          <w:lang w:eastAsia="ar-SA"/>
        </w:rPr>
        <w:t xml:space="preserve">, </w:t>
      </w:r>
      <w:r w:rsidR="00887636" w:rsidRPr="00744DDE">
        <w:rPr>
          <w:rFonts w:ascii="Arial" w:hAnsi="Arial" w:cs="Arial"/>
          <w:lang w:eastAsia="ar-SA"/>
        </w:rPr>
        <w:t xml:space="preserve">prihodi od participacije iznose </w:t>
      </w:r>
      <w:r w:rsidR="00887636">
        <w:rPr>
          <w:rFonts w:ascii="Arial" w:hAnsi="Arial" w:cs="Arial"/>
          <w:lang w:eastAsia="ar-SA"/>
        </w:rPr>
        <w:t>829,82</w:t>
      </w:r>
      <w:r w:rsidR="00AE478A">
        <w:rPr>
          <w:rFonts w:ascii="Arial" w:hAnsi="Arial" w:cs="Arial"/>
          <w:lang w:eastAsia="ar-SA"/>
        </w:rPr>
        <w:t xml:space="preserve"> eura, dok se ostali prihodi odnose na refundaciju isplaćene naknade za dežurstvo specijalizanata u drugim ustanovama u iznosu od 1.839,71 eura.</w:t>
      </w:r>
    </w:p>
    <w:p w14:paraId="39211503" w14:textId="77777777" w:rsidR="00744DDE" w:rsidRDefault="00744DDE" w:rsidP="00D72D5B">
      <w:pPr>
        <w:pStyle w:val="Naslov2"/>
        <w:rPr>
          <w:rFonts w:ascii="Arial" w:hAnsi="Arial" w:cs="Arial"/>
          <w:sz w:val="24"/>
          <w:lang w:val="hr-HR"/>
        </w:rPr>
      </w:pPr>
    </w:p>
    <w:p w14:paraId="5A4EDA90" w14:textId="77777777" w:rsidR="00744DDE" w:rsidRDefault="00744DDE" w:rsidP="00D72D5B">
      <w:pPr>
        <w:pStyle w:val="Naslov2"/>
        <w:rPr>
          <w:rFonts w:ascii="Arial" w:hAnsi="Arial" w:cs="Arial"/>
          <w:sz w:val="24"/>
          <w:lang w:val="hr-HR"/>
        </w:rPr>
      </w:pPr>
    </w:p>
    <w:p w14:paraId="6D541762" w14:textId="452FEAC8" w:rsidR="00D72D5B" w:rsidRDefault="00D72D5B" w:rsidP="00D72D5B">
      <w:pPr>
        <w:pStyle w:val="Naslov2"/>
        <w:rPr>
          <w:rFonts w:ascii="Arial" w:hAnsi="Arial" w:cs="Arial"/>
          <w:sz w:val="24"/>
          <w:lang w:val="hr-HR"/>
        </w:rPr>
      </w:pPr>
      <w:bookmarkStart w:id="3" w:name="_Toc172785191"/>
      <w:r>
        <w:rPr>
          <w:rFonts w:ascii="Arial" w:hAnsi="Arial" w:cs="Arial"/>
          <w:sz w:val="24"/>
          <w:lang w:val="hr-HR"/>
        </w:rPr>
        <w:t>2</w:t>
      </w:r>
      <w:r w:rsidRPr="00BF52C7">
        <w:rPr>
          <w:rFonts w:ascii="Arial" w:hAnsi="Arial" w:cs="Arial"/>
          <w:sz w:val="24"/>
          <w:lang w:val="hr-HR"/>
        </w:rPr>
        <w:t xml:space="preserve">.1. </w:t>
      </w:r>
      <w:r>
        <w:rPr>
          <w:rFonts w:ascii="Arial" w:hAnsi="Arial" w:cs="Arial"/>
          <w:sz w:val="24"/>
          <w:lang w:val="hr-HR"/>
        </w:rPr>
        <w:t>STANJE NOVČANIH SREDSTAVA NA RAČUNU</w:t>
      </w:r>
      <w:bookmarkEnd w:id="3"/>
    </w:p>
    <w:p w14:paraId="4E120256" w14:textId="77777777" w:rsidR="00D72D5B" w:rsidRDefault="00D72D5B" w:rsidP="00D72D5B">
      <w:pPr>
        <w:pStyle w:val="Naslov2"/>
        <w:rPr>
          <w:rFonts w:ascii="Arial" w:hAnsi="Arial" w:cs="Arial"/>
          <w:sz w:val="24"/>
          <w:lang w:val="hr-HR"/>
        </w:rPr>
      </w:pPr>
    </w:p>
    <w:p w14:paraId="6492E270" w14:textId="77777777" w:rsidR="00CB3D91" w:rsidRPr="00CB3D91" w:rsidRDefault="00CB3D91" w:rsidP="00CB3D91"/>
    <w:p w14:paraId="23F08146" w14:textId="08676D42" w:rsidR="00D72D5B" w:rsidRPr="00686282" w:rsidRDefault="00D72D5B" w:rsidP="00D72D5B">
      <w:pPr>
        <w:pStyle w:val="Podnoje"/>
        <w:tabs>
          <w:tab w:val="clear" w:pos="4536"/>
          <w:tab w:val="clear" w:pos="9072"/>
        </w:tabs>
        <w:spacing w:after="120" w:line="360" w:lineRule="auto"/>
        <w:jc w:val="both"/>
        <w:rPr>
          <w:rFonts w:ascii="Arial" w:hAnsi="Arial" w:cs="Arial"/>
          <w:b/>
          <w:i/>
          <w:noProof/>
          <w:highlight w:val="yellow"/>
          <w:lang w:eastAsia="hr-HR"/>
        </w:rPr>
      </w:pPr>
      <w:r>
        <w:rPr>
          <w:rFonts w:ascii="Arial" w:hAnsi="Arial" w:cs="Arial"/>
        </w:rPr>
        <w:t>Stanje novčanih sredstava na računu na početku 202</w:t>
      </w:r>
      <w:r w:rsidR="00A1667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godine bilo je </w:t>
      </w:r>
      <w:r w:rsidR="00A16678">
        <w:rPr>
          <w:rFonts w:ascii="Arial" w:hAnsi="Arial" w:cs="Arial"/>
        </w:rPr>
        <w:t>512.228,20</w:t>
      </w:r>
      <w:r>
        <w:rPr>
          <w:rFonts w:ascii="Arial" w:hAnsi="Arial" w:cs="Arial"/>
        </w:rPr>
        <w:t xml:space="preserve"> eura, a </w:t>
      </w:r>
      <w:r w:rsidR="00887636">
        <w:rPr>
          <w:rFonts w:ascii="Arial" w:hAnsi="Arial" w:cs="Arial"/>
        </w:rPr>
        <w:t>30.06.2024.</w:t>
      </w:r>
      <w:r>
        <w:rPr>
          <w:rFonts w:ascii="Arial" w:hAnsi="Arial" w:cs="Arial"/>
        </w:rPr>
        <w:t xml:space="preserve"> godine iznosi </w:t>
      </w:r>
      <w:r w:rsidR="00887636">
        <w:rPr>
          <w:rFonts w:ascii="Arial" w:hAnsi="Arial" w:cs="Arial"/>
        </w:rPr>
        <w:t>220.029,80</w:t>
      </w:r>
      <w:r>
        <w:rPr>
          <w:rFonts w:ascii="Arial" w:hAnsi="Arial" w:cs="Arial"/>
        </w:rPr>
        <w:t xml:space="preserve"> eura.</w:t>
      </w:r>
    </w:p>
    <w:p w14:paraId="5C9C20B6" w14:textId="77777777" w:rsidR="00D72D5B" w:rsidRPr="00DA11D8" w:rsidRDefault="00D72D5B" w:rsidP="00D72D5B">
      <w:pPr>
        <w:spacing w:line="360" w:lineRule="auto"/>
        <w:jc w:val="both"/>
        <w:rPr>
          <w:rFonts w:ascii="Arial" w:hAnsi="Arial" w:cs="Arial"/>
        </w:rPr>
      </w:pPr>
    </w:p>
    <w:p w14:paraId="6C9FCE7D" w14:textId="77777777" w:rsidR="00D72D5B" w:rsidRPr="00DA11D8" w:rsidRDefault="00D72D5B" w:rsidP="00D72D5B">
      <w:pPr>
        <w:pStyle w:val="Naslov1"/>
        <w:numPr>
          <w:ilvl w:val="0"/>
          <w:numId w:val="1"/>
        </w:numPr>
        <w:ind w:left="709" w:hanging="709"/>
        <w:rPr>
          <w:rFonts w:ascii="Arial" w:hAnsi="Arial" w:cs="Arial"/>
          <w:i w:val="0"/>
        </w:rPr>
      </w:pPr>
      <w:bookmarkStart w:id="4" w:name="_Toc172785192"/>
      <w:r w:rsidRPr="00DA11D8">
        <w:rPr>
          <w:rFonts w:ascii="Arial" w:hAnsi="Arial" w:cs="Arial"/>
          <w:i w:val="0"/>
        </w:rPr>
        <w:t>RASHODI I IZDACI</w:t>
      </w:r>
      <w:bookmarkEnd w:id="4"/>
      <w:r w:rsidRPr="00DA11D8">
        <w:rPr>
          <w:rFonts w:ascii="Arial" w:hAnsi="Arial" w:cs="Arial"/>
          <w:i w:val="0"/>
        </w:rPr>
        <w:t xml:space="preserve"> </w:t>
      </w:r>
    </w:p>
    <w:p w14:paraId="49C19296" w14:textId="77777777" w:rsidR="00D72D5B" w:rsidRDefault="00D72D5B" w:rsidP="00D72D5B">
      <w:pPr>
        <w:rPr>
          <w:rFonts w:ascii="Arial" w:hAnsi="Arial" w:cs="Arial"/>
          <w:lang w:eastAsia="hr-HR"/>
        </w:rPr>
      </w:pPr>
    </w:p>
    <w:p w14:paraId="6379FD8E" w14:textId="77777777" w:rsidR="00CB3D91" w:rsidRPr="00DA11D8" w:rsidRDefault="00CB3D91" w:rsidP="00D72D5B">
      <w:pPr>
        <w:rPr>
          <w:rFonts w:ascii="Arial" w:hAnsi="Arial" w:cs="Arial"/>
          <w:lang w:eastAsia="hr-HR"/>
        </w:rPr>
      </w:pPr>
    </w:p>
    <w:p w14:paraId="22216407" w14:textId="1AE172C5" w:rsidR="00D72D5B" w:rsidRDefault="00860680" w:rsidP="00D72D5B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 prvom polugodištu ove godine u</w:t>
      </w:r>
      <w:r w:rsidR="00D72D5B" w:rsidRPr="00DA11D8">
        <w:rPr>
          <w:rFonts w:ascii="Arial" w:hAnsi="Arial" w:cs="Arial"/>
        </w:rPr>
        <w:t>kupni rashodi i izdaci izvršeni su u iznosu od</w:t>
      </w:r>
      <w:r w:rsidR="00D72D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</w:t>
      </w:r>
      <w:r w:rsidR="00D72D5B">
        <w:rPr>
          <w:rFonts w:ascii="Arial" w:hAnsi="Arial" w:cs="Arial"/>
        </w:rPr>
        <w:t>.</w:t>
      </w:r>
      <w:r>
        <w:rPr>
          <w:rFonts w:ascii="Arial" w:hAnsi="Arial" w:cs="Arial"/>
        </w:rPr>
        <w:t>946</w:t>
      </w:r>
      <w:r w:rsidR="00D72D5B">
        <w:rPr>
          <w:rFonts w:ascii="Arial" w:hAnsi="Arial" w:cs="Arial"/>
        </w:rPr>
        <w:t>.</w:t>
      </w:r>
      <w:r>
        <w:rPr>
          <w:rFonts w:ascii="Arial" w:hAnsi="Arial" w:cs="Arial"/>
        </w:rPr>
        <w:t>133,29</w:t>
      </w:r>
      <w:r w:rsidR="00D72D5B">
        <w:rPr>
          <w:rFonts w:ascii="Arial" w:hAnsi="Arial" w:cs="Arial"/>
        </w:rPr>
        <w:t xml:space="preserve"> </w:t>
      </w:r>
      <w:r w:rsidR="00D72D5B" w:rsidRPr="00DA11D8">
        <w:rPr>
          <w:rFonts w:ascii="Arial" w:hAnsi="Arial" w:cs="Arial"/>
        </w:rPr>
        <w:t xml:space="preserve">eura, što je </w:t>
      </w:r>
      <w:r>
        <w:rPr>
          <w:rFonts w:ascii="Arial" w:hAnsi="Arial" w:cs="Arial"/>
        </w:rPr>
        <w:t>54,</w:t>
      </w:r>
      <w:r w:rsidR="00CB3D91">
        <w:rPr>
          <w:rFonts w:ascii="Arial" w:hAnsi="Arial" w:cs="Arial"/>
        </w:rPr>
        <w:t>8</w:t>
      </w:r>
      <w:r w:rsidR="00D72D5B" w:rsidRPr="00DA11D8">
        <w:rPr>
          <w:rFonts w:ascii="Arial" w:hAnsi="Arial" w:cs="Arial"/>
        </w:rPr>
        <w:t xml:space="preserve">% godišnjeg plana i </w:t>
      </w:r>
      <w:r>
        <w:rPr>
          <w:rFonts w:ascii="Arial" w:hAnsi="Arial" w:cs="Arial"/>
        </w:rPr>
        <w:t>25,</w:t>
      </w:r>
      <w:r w:rsidR="00CB3D91">
        <w:rPr>
          <w:rFonts w:ascii="Arial" w:hAnsi="Arial" w:cs="Arial"/>
        </w:rPr>
        <w:t>1</w:t>
      </w:r>
      <w:r w:rsidR="00D72D5B" w:rsidRPr="00DA11D8">
        <w:rPr>
          <w:rFonts w:ascii="Arial" w:hAnsi="Arial" w:cs="Arial"/>
        </w:rPr>
        <w:t xml:space="preserve">% više u odnosu na </w:t>
      </w:r>
      <w:r w:rsidR="00863859">
        <w:rPr>
          <w:rFonts w:ascii="Arial" w:hAnsi="Arial" w:cs="Arial"/>
        </w:rPr>
        <w:t xml:space="preserve">isto razdoblje </w:t>
      </w:r>
      <w:r>
        <w:rPr>
          <w:rFonts w:ascii="Arial" w:hAnsi="Arial" w:cs="Arial"/>
        </w:rPr>
        <w:t>prethodn</w:t>
      </w:r>
      <w:r w:rsidR="00863859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D72D5B" w:rsidRPr="00DA11D8">
        <w:rPr>
          <w:rFonts w:ascii="Arial" w:hAnsi="Arial" w:cs="Arial"/>
        </w:rPr>
        <w:t>godin</w:t>
      </w:r>
      <w:r w:rsidR="00863859">
        <w:rPr>
          <w:rFonts w:ascii="Arial" w:hAnsi="Arial" w:cs="Arial"/>
        </w:rPr>
        <w:t>e</w:t>
      </w:r>
      <w:r w:rsidR="00D72D5B" w:rsidRPr="00DA11D8">
        <w:rPr>
          <w:rFonts w:ascii="Arial" w:hAnsi="Arial" w:cs="Arial"/>
        </w:rPr>
        <w:t>.</w:t>
      </w:r>
    </w:p>
    <w:p w14:paraId="76072AB8" w14:textId="77777777" w:rsidR="00D72D5B" w:rsidRDefault="00D72D5B" w:rsidP="00D72D5B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Ukupni rashodi i izdaci sastoje se od rashoda poslovanja, rashoda za nabavu nefinancijske imovine i izdataka za otplatu glavnice primljenih kredita.</w:t>
      </w:r>
    </w:p>
    <w:p w14:paraId="33CF81D0" w14:textId="77777777" w:rsidR="00863859" w:rsidRDefault="00863859" w:rsidP="00D72D5B">
      <w:pPr>
        <w:spacing w:after="120" w:line="360" w:lineRule="auto"/>
        <w:jc w:val="both"/>
        <w:rPr>
          <w:rFonts w:ascii="Arial" w:hAnsi="Arial" w:cs="Arial"/>
          <w:bCs/>
          <w:lang w:eastAsia="hr-HR"/>
        </w:rPr>
      </w:pPr>
    </w:p>
    <w:p w14:paraId="0BFECE4E" w14:textId="7CDC8B0E" w:rsidR="00D72D5B" w:rsidRDefault="00D72D5B" w:rsidP="00D72D5B">
      <w:pPr>
        <w:spacing w:after="120" w:line="360" w:lineRule="auto"/>
        <w:jc w:val="both"/>
        <w:rPr>
          <w:rFonts w:ascii="Arial" w:hAnsi="Arial" w:cs="Arial"/>
          <w:bCs/>
          <w:lang w:eastAsia="hr-HR"/>
        </w:rPr>
      </w:pPr>
      <w:r w:rsidRPr="00583475">
        <w:rPr>
          <w:rFonts w:ascii="Arial" w:hAnsi="Arial" w:cs="Arial"/>
          <w:bCs/>
          <w:lang w:eastAsia="hr-HR"/>
        </w:rPr>
        <w:t>Pregled rashoda prema ekonomskoj klasifikaciji na razini skupine daje se u sljedećem analitičkom prikazu:</w:t>
      </w: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95"/>
        <w:gridCol w:w="2126"/>
        <w:gridCol w:w="1984"/>
        <w:gridCol w:w="1134"/>
      </w:tblGrid>
      <w:tr w:rsidR="00D72D5B" w:rsidRPr="0052226C" w14:paraId="099152E8" w14:textId="77777777" w:rsidTr="003854D8">
        <w:trPr>
          <w:trHeight w:val="537"/>
        </w:trPr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3D4ABF" w14:textId="77777777" w:rsidR="00D72D5B" w:rsidRPr="009F2A32" w:rsidRDefault="00D72D5B" w:rsidP="003854D8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noProof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lastRenderedPageBreak/>
              <w:t>Vrsta rashoda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695502" w14:textId="1DF689A6" w:rsidR="00D72D5B" w:rsidRPr="0052226C" w:rsidRDefault="00D72D5B" w:rsidP="003854D8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noProof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Godišnji plan 202</w:t>
            </w:r>
            <w:r w:rsidR="00863859">
              <w:rPr>
                <w:rFonts w:ascii="Arial" w:eastAsia="Calibri" w:hAnsi="Arial" w:cs="Arial"/>
                <w:sz w:val="22"/>
                <w:szCs w:val="22"/>
                <w:lang w:eastAsia="zh-CN"/>
              </w:rPr>
              <w:t>4</w:t>
            </w: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1C10F2" w14:textId="77777777" w:rsidR="00863859" w:rsidRDefault="00D72D5B" w:rsidP="003854D8">
            <w:pPr>
              <w:suppressLineNumbers/>
              <w:suppressAutoHyphens/>
              <w:jc w:val="center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Izvršenje </w:t>
            </w:r>
          </w:p>
          <w:p w14:paraId="16EEFC7B" w14:textId="58C2DD91" w:rsidR="00D72D5B" w:rsidRPr="0052226C" w:rsidRDefault="00D72D5B" w:rsidP="003854D8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noProof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 </w:t>
            </w:r>
            <w:r w:rsidR="00863859">
              <w:rPr>
                <w:rFonts w:ascii="Arial" w:eastAsia="Calibri" w:hAnsi="Arial" w:cs="Arial"/>
                <w:sz w:val="22"/>
                <w:szCs w:val="22"/>
                <w:lang w:eastAsia="zh-CN"/>
              </w:rPr>
              <w:t>I.-VI.</w:t>
            </w: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202</w:t>
            </w:r>
            <w:r w:rsidR="00863859">
              <w:rPr>
                <w:rFonts w:ascii="Arial" w:eastAsia="Calibri" w:hAnsi="Arial" w:cs="Arial"/>
                <w:sz w:val="22"/>
                <w:szCs w:val="22"/>
                <w:lang w:eastAsia="zh-CN"/>
              </w:rPr>
              <w:t>4</w:t>
            </w: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58AA7C" w14:textId="77777777" w:rsidR="00D72D5B" w:rsidRPr="0052226C" w:rsidRDefault="00D72D5B" w:rsidP="003854D8">
            <w:pPr>
              <w:suppressLineNumbers/>
              <w:suppressAutoHyphens/>
              <w:ind w:right="170"/>
              <w:jc w:val="center"/>
              <w:rPr>
                <w:rFonts w:ascii="Arial" w:hAnsi="Arial" w:cs="Arial"/>
                <w:noProof/>
                <w:lang w:eastAsia="zh-CN"/>
              </w:rPr>
            </w:pP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Indek</w:t>
            </w: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 xml:space="preserve">s </w:t>
            </w:r>
            <w:r w:rsidRPr="002F292B">
              <w:rPr>
                <w:rFonts w:ascii="Arial" w:eastAsia="Calibri" w:hAnsi="Arial" w:cs="Arial"/>
                <w:sz w:val="22"/>
                <w:szCs w:val="22"/>
                <w:lang w:eastAsia="zh-CN"/>
              </w:rPr>
              <w:t>%</w:t>
            </w:r>
          </w:p>
        </w:tc>
      </w:tr>
      <w:tr w:rsidR="00D72D5B" w:rsidRPr="0052226C" w14:paraId="26E77CE9" w14:textId="77777777" w:rsidTr="003854D8">
        <w:trPr>
          <w:trHeight w:val="340"/>
        </w:trPr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264B6D" w14:textId="77777777" w:rsidR="00D72D5B" w:rsidRPr="0052226C" w:rsidRDefault="00D72D5B" w:rsidP="003854D8">
            <w:pPr>
              <w:suppressLineNumbers/>
              <w:suppressAutoHyphens/>
              <w:rPr>
                <w:rFonts w:ascii="Arial" w:hAnsi="Arial" w:cs="Arial"/>
                <w:noProof/>
                <w:lang w:eastAsia="zh-CN"/>
              </w:rPr>
            </w:pPr>
            <w:r w:rsidRPr="007236EB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 xml:space="preserve">UKUPNI 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RASHODI I IZDACI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285078" w14:textId="4EA1483F" w:rsidR="00D72D5B" w:rsidRPr="007236EB" w:rsidRDefault="00212B85" w:rsidP="003854D8">
            <w:pPr>
              <w:suppressAutoHyphens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7.</w:t>
            </w:r>
            <w:r w:rsidR="00CB3D91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202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.</w:t>
            </w:r>
            <w:r w:rsidR="00CB3D91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813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,00</w:t>
            </w:r>
          </w:p>
          <w:p w14:paraId="3CA3C417" w14:textId="77777777" w:rsidR="00D72D5B" w:rsidRPr="0052226C" w:rsidRDefault="00D72D5B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EDB1E2" w14:textId="3604AFB6" w:rsidR="00D72D5B" w:rsidRDefault="00CB3D91" w:rsidP="003854D8">
            <w:pPr>
              <w:suppressLineNumbers/>
              <w:suppressAutoHyphens/>
              <w:ind w:left="-191" w:firstLine="191"/>
              <w:jc w:val="right"/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3</w:t>
            </w:r>
            <w:r w:rsidR="00212B85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946</w:t>
            </w:r>
            <w:r w:rsidR="00212B85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.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133</w:t>
            </w:r>
            <w:r w:rsidR="00212B85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,</w:t>
            </w: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2</w:t>
            </w:r>
            <w:r w:rsidR="00212B85"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9</w:t>
            </w:r>
          </w:p>
          <w:p w14:paraId="71A67E8C" w14:textId="1F49437E" w:rsidR="00212B85" w:rsidRPr="0052226C" w:rsidRDefault="00212B85" w:rsidP="003854D8">
            <w:pPr>
              <w:suppressLineNumbers/>
              <w:suppressAutoHyphens/>
              <w:ind w:left="-191" w:firstLine="191"/>
              <w:jc w:val="right"/>
              <w:rPr>
                <w:rFonts w:ascii="Arial" w:hAnsi="Arial" w:cs="Arial"/>
                <w:noProof/>
                <w:lang w:eastAsia="zh-CN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51A9B0" w14:textId="19689DED" w:rsidR="00D72D5B" w:rsidRPr="0052226C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zh-CN"/>
              </w:rPr>
              <w:t>54,8</w:t>
            </w:r>
          </w:p>
        </w:tc>
      </w:tr>
      <w:tr w:rsidR="00D72D5B" w:rsidRPr="0052226C" w14:paraId="1817F59A" w14:textId="77777777" w:rsidTr="003854D8">
        <w:trPr>
          <w:trHeight w:val="340"/>
        </w:trPr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AFC46C" w14:textId="77777777" w:rsidR="00D72D5B" w:rsidRPr="009966AB" w:rsidRDefault="00D72D5B" w:rsidP="003854D8">
            <w:pPr>
              <w:suppressLineNumbers/>
              <w:suppressAutoHyphens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966AB">
              <w:rPr>
                <w:rFonts w:ascii="Arial" w:eastAsia="Calibri" w:hAnsi="Arial" w:cs="Arial"/>
                <w:sz w:val="22"/>
                <w:szCs w:val="22"/>
                <w:lang w:eastAsia="zh-CN"/>
              </w:rPr>
              <w:t>Rashodi za zaposlene (31)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0F2B8B" w14:textId="1270B4E6" w:rsidR="00D72D5B" w:rsidRPr="009966AB" w:rsidRDefault="00CB3D91" w:rsidP="003854D8">
            <w:pPr>
              <w:suppressAutoHyphens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5.176.683,00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0631D6" w14:textId="6B3909D6" w:rsidR="00D72D5B" w:rsidRPr="009966AB" w:rsidRDefault="00CB3D91" w:rsidP="003854D8">
            <w:pPr>
              <w:suppressLineNumbers/>
              <w:suppressAutoHyphens/>
              <w:ind w:left="-191" w:firstLine="191"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2.979.364,57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B2BD60" w14:textId="6474A8EB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zh-CN"/>
              </w:rPr>
              <w:t>57,6</w:t>
            </w:r>
          </w:p>
        </w:tc>
      </w:tr>
      <w:tr w:rsidR="00D72D5B" w:rsidRPr="0052226C" w14:paraId="463F6B97" w14:textId="77777777" w:rsidTr="003854D8">
        <w:trPr>
          <w:trHeight w:val="340"/>
        </w:trPr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35D3BC" w14:textId="77777777" w:rsidR="00D72D5B" w:rsidRPr="009966AB" w:rsidRDefault="00D72D5B" w:rsidP="003854D8">
            <w:pPr>
              <w:suppressLineNumbers/>
              <w:suppressAutoHyphens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 w:rsidRPr="009966AB"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Materijalni rashodi   (32)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E08B561" w14:textId="1EEB5B85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1.792.134,00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231B2A" w14:textId="128DC750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860.954,80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D5D454" w14:textId="6C5A9B48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48,0</w:t>
            </w:r>
          </w:p>
        </w:tc>
      </w:tr>
      <w:tr w:rsidR="00D72D5B" w:rsidRPr="0052226C" w14:paraId="19AAED5A" w14:textId="77777777" w:rsidTr="003854D8">
        <w:trPr>
          <w:trHeight w:val="340"/>
        </w:trPr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0F47DD" w14:textId="77777777" w:rsidR="00D72D5B" w:rsidRPr="009966AB" w:rsidRDefault="00D72D5B" w:rsidP="003854D8">
            <w:pPr>
              <w:suppressLineNumbers/>
              <w:suppressAutoHyphens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Financijski rashodi</w:t>
            </w:r>
            <w:r w:rsidRPr="009966AB"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 xml:space="preserve">  (3</w:t>
            </w: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4</w:t>
            </w:r>
            <w:r w:rsidRPr="009966AB"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44B21F" w14:textId="3AA8AC6D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3.665,00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71F1A7" w14:textId="5088D176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4.465,29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507BD2" w14:textId="37967C55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121,8</w:t>
            </w:r>
          </w:p>
        </w:tc>
      </w:tr>
      <w:tr w:rsidR="00D72D5B" w:rsidRPr="0052226C" w14:paraId="317948C1" w14:textId="77777777" w:rsidTr="003854D8">
        <w:trPr>
          <w:trHeight w:val="340"/>
        </w:trPr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6042CD" w14:textId="77777777" w:rsidR="00D72D5B" w:rsidRPr="009966AB" w:rsidRDefault="00D72D5B" w:rsidP="003854D8">
            <w:pPr>
              <w:suppressLineNumbers/>
              <w:suppressAutoHyphens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Naknade građanima i kućanstvima</w:t>
            </w:r>
            <w:r w:rsidRPr="009966AB"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 xml:space="preserve">  (3</w:t>
            </w: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7</w:t>
            </w:r>
            <w:r w:rsidRPr="009966AB"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EF99A7" w14:textId="13B951C9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8.260</w:t>
            </w:r>
            <w:r w:rsidR="00D72D5B"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E653B8" w14:textId="77777777" w:rsidR="00D72D5B" w:rsidRPr="009966AB" w:rsidRDefault="00D72D5B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0,00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266839" w14:textId="77777777" w:rsidR="00D72D5B" w:rsidRPr="009966AB" w:rsidRDefault="00D72D5B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0,0</w:t>
            </w:r>
          </w:p>
        </w:tc>
      </w:tr>
      <w:tr w:rsidR="00D72D5B" w:rsidRPr="0052226C" w14:paraId="053C8E4C" w14:textId="77777777" w:rsidTr="003854D8">
        <w:trPr>
          <w:trHeight w:val="340"/>
        </w:trPr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E8F0E1" w14:textId="77777777" w:rsidR="00D72D5B" w:rsidRPr="009966AB" w:rsidRDefault="00D72D5B" w:rsidP="003854D8">
            <w:pPr>
              <w:suppressLineNumbers/>
              <w:suppressAutoHyphens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 w:rsidRPr="009966AB"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Ostali rashodi (3</w:t>
            </w: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8</w:t>
            </w:r>
            <w:r w:rsidRPr="009966AB"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6D9645" w14:textId="77777777" w:rsidR="00D72D5B" w:rsidRPr="009966AB" w:rsidRDefault="00D72D5B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1.593,00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2AA730" w14:textId="0A8A1B20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784,62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5CB946" w14:textId="4EE3C0C2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49,3</w:t>
            </w:r>
          </w:p>
        </w:tc>
      </w:tr>
      <w:tr w:rsidR="00D72D5B" w:rsidRPr="0052226C" w14:paraId="2C1B8B82" w14:textId="77777777" w:rsidTr="003854D8">
        <w:trPr>
          <w:trHeight w:val="340"/>
        </w:trPr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2BA13E" w14:textId="77777777" w:rsidR="00D72D5B" w:rsidRPr="009966AB" w:rsidRDefault="00D72D5B" w:rsidP="003854D8">
            <w:pPr>
              <w:suppressLineNumbers/>
              <w:suppressAutoHyphens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Rashodi za nabavu prozvedene dugotrajne imovine</w:t>
            </w:r>
            <w:r w:rsidRPr="009966AB"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 xml:space="preserve">  (</w:t>
            </w: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42</w:t>
            </w:r>
            <w:r w:rsidRPr="009966AB"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D5CB19" w14:textId="7CA8048E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183.094,00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DD566B" w14:textId="30A6FB81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83.310,05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494CFF" w14:textId="35E11D53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45,5</w:t>
            </w:r>
          </w:p>
        </w:tc>
      </w:tr>
      <w:tr w:rsidR="00D72D5B" w:rsidRPr="0052226C" w14:paraId="76E3DC2C" w14:textId="77777777" w:rsidTr="003854D8">
        <w:trPr>
          <w:trHeight w:val="340"/>
        </w:trPr>
        <w:tc>
          <w:tcPr>
            <w:tcW w:w="43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61BC33" w14:textId="77777777" w:rsidR="00D72D5B" w:rsidRPr="009966AB" w:rsidRDefault="00D72D5B" w:rsidP="003854D8">
            <w:pPr>
              <w:suppressLineNumbers/>
              <w:suppressAutoHyphens/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Izdaci za otplatu glavnice primljenih kredita i zajmova (54)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7DC340" w14:textId="28D1AF2B" w:rsidR="00D72D5B" w:rsidRPr="009966AB" w:rsidRDefault="00D72D5B" w:rsidP="003854D8">
            <w:pPr>
              <w:suppressLineNumbers/>
              <w:suppressAutoHyphens/>
              <w:jc w:val="right"/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3</w:t>
            </w:r>
            <w:r w:rsidR="00CB3D91"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7</w:t>
            </w: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.</w:t>
            </w:r>
            <w:r w:rsidR="00CB3D91"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384</w:t>
            </w: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,00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B8361B" w14:textId="5214D2CD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b/>
                <w:bCs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17.253,96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008B10" w14:textId="5567E2A4" w:rsidR="00D72D5B" w:rsidRPr="009966AB" w:rsidRDefault="00CB3D91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:lang w:eastAsia="zh-CN"/>
              </w:rPr>
              <w:t>46,2</w:t>
            </w:r>
          </w:p>
        </w:tc>
      </w:tr>
    </w:tbl>
    <w:p w14:paraId="1E826B76" w14:textId="77777777" w:rsidR="00D72D5B" w:rsidRDefault="00D72D5B" w:rsidP="00D72D5B">
      <w:pPr>
        <w:jc w:val="both"/>
        <w:rPr>
          <w:rFonts w:ascii="Arial" w:hAnsi="Arial" w:cs="Arial"/>
          <w:bCs/>
          <w:lang w:eastAsia="hr-HR"/>
        </w:rPr>
      </w:pPr>
    </w:p>
    <w:p w14:paraId="0C6161DE" w14:textId="77777777" w:rsidR="00D72D5B" w:rsidRDefault="00D72D5B" w:rsidP="00D72D5B">
      <w:pPr>
        <w:spacing w:line="360" w:lineRule="auto"/>
        <w:jc w:val="both"/>
        <w:rPr>
          <w:rFonts w:ascii="Arial" w:hAnsi="Arial" w:cs="Arial"/>
          <w:bCs/>
          <w:lang w:eastAsia="hr-HR"/>
        </w:rPr>
      </w:pPr>
    </w:p>
    <w:p w14:paraId="0EF42684" w14:textId="09FFF74F" w:rsidR="00D72D5B" w:rsidRDefault="00D72D5B" w:rsidP="00D72D5B">
      <w:pPr>
        <w:spacing w:line="360" w:lineRule="auto"/>
        <w:jc w:val="both"/>
        <w:rPr>
          <w:rFonts w:ascii="Arial" w:hAnsi="Arial" w:cs="Arial"/>
          <w:bCs/>
          <w:lang w:eastAsia="hr-HR"/>
        </w:rPr>
      </w:pPr>
      <w:r w:rsidRPr="00583475">
        <w:rPr>
          <w:rFonts w:ascii="Arial" w:hAnsi="Arial" w:cs="Arial"/>
          <w:bCs/>
          <w:lang w:eastAsia="hr-HR"/>
        </w:rPr>
        <w:t>Rashodi poslovanja planirani su za 202</w:t>
      </w:r>
      <w:r w:rsidR="000B1DE5">
        <w:rPr>
          <w:rFonts w:ascii="Arial" w:hAnsi="Arial" w:cs="Arial"/>
          <w:bCs/>
          <w:lang w:eastAsia="hr-HR"/>
        </w:rPr>
        <w:t>4</w:t>
      </w:r>
      <w:r w:rsidRPr="00583475">
        <w:rPr>
          <w:rFonts w:ascii="Arial" w:hAnsi="Arial" w:cs="Arial"/>
          <w:bCs/>
          <w:lang w:eastAsia="hr-HR"/>
        </w:rPr>
        <w:t xml:space="preserve">. godinu u iznosu </w:t>
      </w:r>
      <w:r>
        <w:rPr>
          <w:rFonts w:ascii="Arial" w:hAnsi="Arial" w:cs="Arial"/>
          <w:bCs/>
          <w:lang w:eastAsia="hr-HR"/>
        </w:rPr>
        <w:t>6.9</w:t>
      </w:r>
      <w:r w:rsidR="003B0D44">
        <w:rPr>
          <w:rFonts w:ascii="Arial" w:hAnsi="Arial" w:cs="Arial"/>
          <w:bCs/>
          <w:lang w:eastAsia="hr-HR"/>
        </w:rPr>
        <w:t>82</w:t>
      </w:r>
      <w:r w:rsidRPr="00583475">
        <w:rPr>
          <w:rFonts w:ascii="Arial" w:hAnsi="Arial" w:cs="Arial"/>
          <w:bCs/>
          <w:lang w:eastAsia="hr-HR"/>
        </w:rPr>
        <w:t>.</w:t>
      </w:r>
      <w:r w:rsidR="003B0D44">
        <w:rPr>
          <w:rFonts w:ascii="Arial" w:hAnsi="Arial" w:cs="Arial"/>
          <w:bCs/>
          <w:lang w:eastAsia="hr-HR"/>
        </w:rPr>
        <w:t>335,00</w:t>
      </w:r>
      <w:r w:rsidRPr="00583475">
        <w:rPr>
          <w:rFonts w:ascii="Arial" w:hAnsi="Arial" w:cs="Arial"/>
          <w:bCs/>
          <w:lang w:eastAsia="hr-HR"/>
        </w:rPr>
        <w:t xml:space="preserve"> </w:t>
      </w:r>
      <w:r>
        <w:rPr>
          <w:rFonts w:ascii="Arial" w:hAnsi="Arial" w:cs="Arial"/>
          <w:bCs/>
          <w:lang w:eastAsia="hr-HR"/>
        </w:rPr>
        <w:t>eura</w:t>
      </w:r>
      <w:r w:rsidRPr="00583475">
        <w:rPr>
          <w:rFonts w:ascii="Arial" w:hAnsi="Arial" w:cs="Arial"/>
          <w:bCs/>
          <w:lang w:eastAsia="hr-HR"/>
        </w:rPr>
        <w:t xml:space="preserve">, a u razdoblju 01 – </w:t>
      </w:r>
      <w:r w:rsidR="003B0D44">
        <w:rPr>
          <w:rFonts w:ascii="Arial" w:hAnsi="Arial" w:cs="Arial"/>
          <w:bCs/>
          <w:lang w:eastAsia="hr-HR"/>
        </w:rPr>
        <w:t>06</w:t>
      </w:r>
      <w:r w:rsidRPr="00583475">
        <w:rPr>
          <w:rFonts w:ascii="Arial" w:hAnsi="Arial" w:cs="Arial"/>
          <w:bCs/>
          <w:lang w:eastAsia="hr-HR"/>
        </w:rPr>
        <w:t>/202</w:t>
      </w:r>
      <w:r w:rsidR="003B0D44">
        <w:rPr>
          <w:rFonts w:ascii="Arial" w:hAnsi="Arial" w:cs="Arial"/>
          <w:bCs/>
          <w:lang w:eastAsia="hr-HR"/>
        </w:rPr>
        <w:t>4</w:t>
      </w:r>
      <w:r w:rsidRPr="00583475">
        <w:rPr>
          <w:rFonts w:ascii="Arial" w:hAnsi="Arial" w:cs="Arial"/>
          <w:bCs/>
          <w:lang w:eastAsia="hr-HR"/>
        </w:rPr>
        <w:t>.</w:t>
      </w:r>
      <w:r>
        <w:rPr>
          <w:rFonts w:ascii="Arial" w:hAnsi="Arial" w:cs="Arial"/>
          <w:bCs/>
          <w:lang w:eastAsia="hr-HR"/>
        </w:rPr>
        <w:t xml:space="preserve">godine </w:t>
      </w:r>
      <w:r w:rsidRPr="00583475">
        <w:rPr>
          <w:rFonts w:ascii="Arial" w:hAnsi="Arial" w:cs="Arial"/>
          <w:bCs/>
          <w:lang w:eastAsia="hr-HR"/>
        </w:rPr>
        <w:t xml:space="preserve"> izvršeni su u iznosu </w:t>
      </w:r>
      <w:r>
        <w:rPr>
          <w:rFonts w:ascii="Arial" w:hAnsi="Arial" w:cs="Arial"/>
          <w:bCs/>
          <w:lang w:eastAsia="hr-HR"/>
        </w:rPr>
        <w:t xml:space="preserve">od </w:t>
      </w:r>
      <w:r w:rsidR="003B0D44">
        <w:rPr>
          <w:rFonts w:ascii="Arial" w:hAnsi="Arial" w:cs="Arial"/>
          <w:bCs/>
          <w:lang w:eastAsia="hr-HR"/>
        </w:rPr>
        <w:t>3.845</w:t>
      </w:r>
      <w:r>
        <w:rPr>
          <w:rFonts w:ascii="Arial" w:hAnsi="Arial" w:cs="Arial"/>
          <w:bCs/>
          <w:lang w:eastAsia="hr-HR"/>
        </w:rPr>
        <w:t>.</w:t>
      </w:r>
      <w:r w:rsidR="003B0D44">
        <w:rPr>
          <w:rFonts w:ascii="Arial" w:hAnsi="Arial" w:cs="Arial"/>
          <w:bCs/>
          <w:lang w:eastAsia="hr-HR"/>
        </w:rPr>
        <w:t>569,28</w:t>
      </w:r>
      <w:r>
        <w:rPr>
          <w:rFonts w:ascii="Arial" w:hAnsi="Arial" w:cs="Arial"/>
          <w:bCs/>
          <w:lang w:eastAsia="hr-HR"/>
        </w:rPr>
        <w:t xml:space="preserve"> eura</w:t>
      </w:r>
      <w:r w:rsidRPr="00583475">
        <w:rPr>
          <w:rFonts w:ascii="Arial" w:hAnsi="Arial" w:cs="Arial"/>
          <w:bCs/>
          <w:lang w:eastAsia="hr-HR"/>
        </w:rPr>
        <w:t xml:space="preserve">, što je </w:t>
      </w:r>
      <w:r w:rsidR="003B0D44">
        <w:rPr>
          <w:rFonts w:ascii="Arial" w:hAnsi="Arial" w:cs="Arial"/>
          <w:bCs/>
          <w:lang w:eastAsia="hr-HR"/>
        </w:rPr>
        <w:t>55,1</w:t>
      </w:r>
      <w:r w:rsidRPr="00583475">
        <w:rPr>
          <w:rFonts w:ascii="Arial" w:hAnsi="Arial" w:cs="Arial"/>
          <w:bCs/>
          <w:lang w:eastAsia="hr-HR"/>
        </w:rPr>
        <w:t xml:space="preserve">% </w:t>
      </w:r>
      <w:r>
        <w:rPr>
          <w:rFonts w:ascii="Arial" w:hAnsi="Arial" w:cs="Arial"/>
          <w:bCs/>
          <w:lang w:eastAsia="hr-HR"/>
        </w:rPr>
        <w:t xml:space="preserve">plana i </w:t>
      </w:r>
      <w:r w:rsidR="003B0D44">
        <w:rPr>
          <w:rFonts w:ascii="Arial" w:hAnsi="Arial" w:cs="Arial"/>
          <w:bCs/>
          <w:lang w:eastAsia="hr-HR"/>
        </w:rPr>
        <w:t>29,4</w:t>
      </w:r>
      <w:r>
        <w:rPr>
          <w:rFonts w:ascii="Arial" w:hAnsi="Arial" w:cs="Arial"/>
          <w:bCs/>
          <w:lang w:eastAsia="hr-HR"/>
        </w:rPr>
        <w:t xml:space="preserve">% više u odnosu na </w:t>
      </w:r>
      <w:r w:rsidR="003B0D44">
        <w:rPr>
          <w:rFonts w:ascii="Arial" w:hAnsi="Arial" w:cs="Arial"/>
          <w:bCs/>
          <w:lang w:eastAsia="hr-HR"/>
        </w:rPr>
        <w:t>isto razdoblje prethodne godine</w:t>
      </w:r>
      <w:r>
        <w:rPr>
          <w:rFonts w:ascii="Arial" w:hAnsi="Arial" w:cs="Arial"/>
          <w:bCs/>
          <w:lang w:eastAsia="hr-HR"/>
        </w:rPr>
        <w:t xml:space="preserve">. </w:t>
      </w:r>
    </w:p>
    <w:p w14:paraId="47765784" w14:textId="77777777" w:rsidR="00D72D5B" w:rsidRDefault="00D72D5B" w:rsidP="00D72D5B">
      <w:pPr>
        <w:jc w:val="both"/>
        <w:rPr>
          <w:rFonts w:ascii="Arial" w:hAnsi="Arial" w:cs="Arial"/>
          <w:bCs/>
          <w:lang w:eastAsia="hr-HR"/>
        </w:rPr>
      </w:pPr>
    </w:p>
    <w:p w14:paraId="22083A52" w14:textId="77777777" w:rsidR="00D72D5B" w:rsidRPr="00583475" w:rsidRDefault="00D72D5B" w:rsidP="00D72D5B">
      <w:pPr>
        <w:jc w:val="both"/>
        <w:rPr>
          <w:rFonts w:ascii="Arial" w:hAnsi="Arial" w:cs="Arial"/>
          <w:bCs/>
          <w:lang w:eastAsia="hr-HR"/>
        </w:rPr>
      </w:pPr>
    </w:p>
    <w:p w14:paraId="30B22DB0" w14:textId="66C0A615" w:rsidR="00D72D5B" w:rsidRPr="0052226C" w:rsidRDefault="003B0D44" w:rsidP="00D72D5B">
      <w:pPr>
        <w:suppressAutoHyphens/>
        <w:ind w:right="-341"/>
        <w:rPr>
          <w:rFonts w:ascii="Arial" w:hAnsi="Arial" w:cs="Arial"/>
          <w:noProof/>
          <w:lang w:eastAsia="zh-CN"/>
        </w:rPr>
      </w:pPr>
      <w:r>
        <w:rPr>
          <w:rFonts w:ascii="Arial" w:hAnsi="Arial" w:cs="Arial"/>
          <w:noProof/>
          <w:lang w:eastAsia="zh-CN"/>
        </w:rPr>
        <w:t>S</w:t>
      </w:r>
      <w:r w:rsidR="00D72D5B" w:rsidRPr="0052226C">
        <w:rPr>
          <w:rFonts w:ascii="Arial" w:hAnsi="Arial" w:cs="Arial"/>
          <w:noProof/>
          <w:lang w:eastAsia="zh-CN"/>
        </w:rPr>
        <w:t xml:space="preserve">truktura izvršenih rashoda poslovanja u </w:t>
      </w:r>
      <w:r>
        <w:rPr>
          <w:rFonts w:ascii="Arial" w:hAnsi="Arial" w:cs="Arial"/>
          <w:noProof/>
          <w:lang w:eastAsia="zh-CN"/>
        </w:rPr>
        <w:t xml:space="preserve">prvih šest mjeseci </w:t>
      </w:r>
      <w:r w:rsidR="00D72D5B">
        <w:rPr>
          <w:rFonts w:ascii="Arial" w:hAnsi="Arial" w:cs="Arial"/>
          <w:noProof/>
          <w:lang w:eastAsia="zh-CN"/>
        </w:rPr>
        <w:t>202</w:t>
      </w:r>
      <w:r>
        <w:rPr>
          <w:rFonts w:ascii="Arial" w:hAnsi="Arial" w:cs="Arial"/>
          <w:noProof/>
          <w:lang w:eastAsia="zh-CN"/>
        </w:rPr>
        <w:t>4</w:t>
      </w:r>
      <w:r w:rsidR="00D72D5B">
        <w:rPr>
          <w:rFonts w:ascii="Arial" w:hAnsi="Arial" w:cs="Arial"/>
          <w:noProof/>
          <w:lang w:eastAsia="zh-CN"/>
        </w:rPr>
        <w:t>.</w:t>
      </w:r>
      <w:r w:rsidR="00D72D5B" w:rsidRPr="0052226C">
        <w:rPr>
          <w:rFonts w:ascii="Arial" w:hAnsi="Arial" w:cs="Arial"/>
          <w:noProof/>
          <w:lang w:eastAsia="zh-CN"/>
        </w:rPr>
        <w:t xml:space="preserve"> je sljedeća:</w:t>
      </w:r>
    </w:p>
    <w:p w14:paraId="3E8F80DE" w14:textId="77777777" w:rsidR="00D72D5B" w:rsidRPr="0052226C" w:rsidRDefault="00D72D5B" w:rsidP="00D72D5B">
      <w:pPr>
        <w:suppressAutoHyphens/>
        <w:ind w:right="-341"/>
        <w:rPr>
          <w:rFonts w:ascii="Arial" w:hAnsi="Arial" w:cs="Arial"/>
          <w:noProof/>
          <w:lang w:eastAsia="zh-CN"/>
        </w:rPr>
      </w:pPr>
    </w:p>
    <w:tbl>
      <w:tblPr>
        <w:tblW w:w="965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0"/>
        <w:gridCol w:w="1590"/>
        <w:gridCol w:w="1311"/>
      </w:tblGrid>
      <w:tr w:rsidR="00D72D5B" w:rsidRPr="0052226C" w14:paraId="2BD022F9" w14:textId="77777777" w:rsidTr="003854D8">
        <w:tc>
          <w:tcPr>
            <w:tcW w:w="67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4FACE0" w14:textId="77777777" w:rsidR="00D72D5B" w:rsidRPr="009F2A32" w:rsidRDefault="00D72D5B" w:rsidP="003854D8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noProof/>
                <w:lang w:eastAsia="zh-CN"/>
              </w:rPr>
            </w:pPr>
            <w:bookmarkStart w:id="5" w:name="_Hlk162506099"/>
            <w:r w:rsidRPr="009F2A32">
              <w:rPr>
                <w:rFonts w:ascii="Arial" w:hAnsi="Arial" w:cs="Arial"/>
                <w:b/>
                <w:bCs/>
                <w:noProof/>
                <w:lang w:eastAsia="zh-CN"/>
              </w:rPr>
              <w:t>O P I S</w:t>
            </w:r>
          </w:p>
        </w:tc>
        <w:tc>
          <w:tcPr>
            <w:tcW w:w="15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A7DA40" w14:textId="77777777" w:rsidR="00D72D5B" w:rsidRPr="0052226C" w:rsidRDefault="00D72D5B" w:rsidP="003854D8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noProof/>
                <w:lang w:eastAsia="zh-CN"/>
              </w:rPr>
            </w:pPr>
            <w:r w:rsidRPr="0052226C">
              <w:rPr>
                <w:rFonts w:ascii="Arial" w:hAnsi="Arial" w:cs="Arial"/>
                <w:b/>
                <w:bCs/>
                <w:noProof/>
                <w:lang w:eastAsia="zh-CN"/>
              </w:rPr>
              <w:t xml:space="preserve">IZNOS </w:t>
            </w:r>
          </w:p>
        </w:tc>
        <w:tc>
          <w:tcPr>
            <w:tcW w:w="13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6CB106" w14:textId="77777777" w:rsidR="00D72D5B" w:rsidRPr="0052226C" w:rsidRDefault="00D72D5B" w:rsidP="003854D8">
            <w:pPr>
              <w:suppressLineNumbers/>
              <w:suppressAutoHyphens/>
              <w:ind w:right="170"/>
              <w:jc w:val="center"/>
              <w:rPr>
                <w:rFonts w:ascii="Arial" w:hAnsi="Arial" w:cs="Arial"/>
                <w:noProof/>
                <w:lang w:eastAsia="zh-CN"/>
              </w:rPr>
            </w:pPr>
            <w:r w:rsidRPr="0052226C">
              <w:rPr>
                <w:rFonts w:ascii="Arial" w:hAnsi="Arial" w:cs="Arial"/>
                <w:b/>
                <w:bCs/>
                <w:noProof/>
                <w:lang w:eastAsia="zh-CN"/>
              </w:rPr>
              <w:t>UDIO (%)</w:t>
            </w:r>
          </w:p>
        </w:tc>
      </w:tr>
      <w:tr w:rsidR="00D72D5B" w:rsidRPr="0052226C" w14:paraId="4BA831A3" w14:textId="77777777" w:rsidTr="003854D8">
        <w:tc>
          <w:tcPr>
            <w:tcW w:w="6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DA8498" w14:textId="77777777" w:rsidR="00D72D5B" w:rsidRPr="0052226C" w:rsidRDefault="00D72D5B" w:rsidP="003854D8">
            <w:pPr>
              <w:suppressLineNumbers/>
              <w:suppressAutoHyphens/>
              <w:rPr>
                <w:rFonts w:ascii="Arial" w:hAnsi="Arial" w:cs="Arial"/>
                <w:noProof/>
                <w:lang w:eastAsia="zh-CN"/>
              </w:rPr>
            </w:pPr>
            <w:r w:rsidRPr="0052226C">
              <w:rPr>
                <w:rFonts w:ascii="Arial" w:hAnsi="Arial" w:cs="Arial"/>
                <w:noProof/>
                <w:lang w:eastAsia="zh-CN"/>
              </w:rPr>
              <w:t>Rashodi za zaposlene  (31)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1DA8C3" w14:textId="26D1EB95" w:rsidR="00D72D5B" w:rsidRPr="0052226C" w:rsidRDefault="003B0D44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hAnsi="Arial" w:cs="Arial"/>
                <w:noProof/>
                <w:lang w:eastAsia="zh-CN"/>
              </w:rPr>
              <w:t>2.979.364,57</w:t>
            </w:r>
          </w:p>
        </w:tc>
        <w:tc>
          <w:tcPr>
            <w:tcW w:w="13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E03041" w14:textId="7A6F4B88" w:rsidR="003B0D44" w:rsidRPr="0052226C" w:rsidRDefault="003B0D44" w:rsidP="003B0D44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hAnsi="Arial" w:cs="Arial"/>
                <w:noProof/>
                <w:lang w:eastAsia="zh-CN"/>
              </w:rPr>
              <w:t>77,48</w:t>
            </w:r>
          </w:p>
        </w:tc>
      </w:tr>
      <w:tr w:rsidR="00D72D5B" w:rsidRPr="0052226C" w14:paraId="2254558E" w14:textId="77777777" w:rsidTr="003854D8">
        <w:tc>
          <w:tcPr>
            <w:tcW w:w="6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851628" w14:textId="77777777" w:rsidR="00D72D5B" w:rsidRPr="0052226C" w:rsidRDefault="00D72D5B" w:rsidP="003854D8">
            <w:pPr>
              <w:suppressLineNumbers/>
              <w:suppressAutoHyphens/>
              <w:rPr>
                <w:rFonts w:ascii="Arial" w:hAnsi="Arial" w:cs="Arial"/>
                <w:noProof/>
                <w:lang w:eastAsia="zh-CN"/>
              </w:rPr>
            </w:pPr>
            <w:r w:rsidRPr="0052226C">
              <w:rPr>
                <w:rFonts w:ascii="Arial" w:hAnsi="Arial" w:cs="Arial"/>
                <w:noProof/>
                <w:lang w:eastAsia="zh-CN"/>
              </w:rPr>
              <w:t>Naknade troškova zaposlenima  (321)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AFAB24" w14:textId="3F36C797" w:rsidR="00D72D5B" w:rsidRPr="0052226C" w:rsidRDefault="003B0D44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hAnsi="Arial" w:cs="Arial"/>
                <w:noProof/>
                <w:lang w:eastAsia="zh-CN"/>
              </w:rPr>
              <w:t>143.329,77</w:t>
            </w:r>
          </w:p>
        </w:tc>
        <w:tc>
          <w:tcPr>
            <w:tcW w:w="13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4536CE" w14:textId="1B070F9C" w:rsidR="00D72D5B" w:rsidRPr="0052226C" w:rsidRDefault="003B0D44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hAnsi="Arial" w:cs="Arial"/>
                <w:noProof/>
                <w:lang w:eastAsia="zh-CN"/>
              </w:rPr>
              <w:t>3,73</w:t>
            </w:r>
          </w:p>
        </w:tc>
      </w:tr>
      <w:tr w:rsidR="00D72D5B" w:rsidRPr="0052226C" w14:paraId="16C20E67" w14:textId="77777777" w:rsidTr="003854D8">
        <w:tc>
          <w:tcPr>
            <w:tcW w:w="6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62DE76" w14:textId="77777777" w:rsidR="00D72D5B" w:rsidRPr="0052226C" w:rsidRDefault="00D72D5B" w:rsidP="003854D8">
            <w:pPr>
              <w:suppressLineNumbers/>
              <w:suppressAutoHyphens/>
              <w:rPr>
                <w:rFonts w:ascii="Arial" w:hAnsi="Arial" w:cs="Arial"/>
                <w:noProof/>
                <w:lang w:eastAsia="zh-CN"/>
              </w:rPr>
            </w:pPr>
            <w:r w:rsidRPr="0052226C">
              <w:rPr>
                <w:rFonts w:ascii="Arial" w:hAnsi="Arial" w:cs="Arial"/>
                <w:noProof/>
                <w:lang w:eastAsia="zh-CN"/>
              </w:rPr>
              <w:t>Rashodi za materijal i energiju  (322)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FD1F59" w14:textId="68AEB29A" w:rsidR="00D72D5B" w:rsidRPr="0052226C" w:rsidRDefault="003B0D44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hAnsi="Arial" w:cs="Arial"/>
                <w:noProof/>
                <w:lang w:eastAsia="zh-CN"/>
              </w:rPr>
              <w:t>343.629,13</w:t>
            </w:r>
          </w:p>
        </w:tc>
        <w:tc>
          <w:tcPr>
            <w:tcW w:w="13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0A861F0" w14:textId="5A840FE1" w:rsidR="00D72D5B" w:rsidRPr="0052226C" w:rsidRDefault="003B0D44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hAnsi="Arial" w:cs="Arial"/>
                <w:noProof/>
                <w:lang w:eastAsia="zh-CN"/>
              </w:rPr>
              <w:t>8,94</w:t>
            </w:r>
          </w:p>
        </w:tc>
      </w:tr>
      <w:tr w:rsidR="00D72D5B" w:rsidRPr="0052226C" w14:paraId="55EAC842" w14:textId="77777777" w:rsidTr="003854D8">
        <w:tc>
          <w:tcPr>
            <w:tcW w:w="6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AF5392" w14:textId="77777777" w:rsidR="00D72D5B" w:rsidRPr="0052226C" w:rsidRDefault="00D72D5B" w:rsidP="003854D8">
            <w:pPr>
              <w:suppressLineNumbers/>
              <w:suppressAutoHyphens/>
              <w:rPr>
                <w:rFonts w:ascii="Arial" w:hAnsi="Arial" w:cs="Arial"/>
                <w:noProof/>
                <w:lang w:eastAsia="zh-CN"/>
              </w:rPr>
            </w:pPr>
            <w:r w:rsidRPr="0052226C">
              <w:rPr>
                <w:rFonts w:ascii="Arial" w:hAnsi="Arial" w:cs="Arial"/>
                <w:noProof/>
                <w:lang w:eastAsia="zh-CN"/>
              </w:rPr>
              <w:t>Rashodi za usluge  (323)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25CCD3" w14:textId="11661F79" w:rsidR="00D72D5B" w:rsidRPr="0052226C" w:rsidRDefault="003B0D44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hAnsi="Arial" w:cs="Arial"/>
                <w:noProof/>
                <w:lang w:eastAsia="zh-CN"/>
              </w:rPr>
              <w:t>350.566,84</w:t>
            </w:r>
          </w:p>
        </w:tc>
        <w:tc>
          <w:tcPr>
            <w:tcW w:w="13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72F8AC0" w14:textId="3FBFBCE9" w:rsidR="00D72D5B" w:rsidRPr="0052226C" w:rsidRDefault="003B0D44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hAnsi="Arial" w:cs="Arial"/>
                <w:noProof/>
                <w:lang w:eastAsia="zh-CN"/>
              </w:rPr>
              <w:t>9,12</w:t>
            </w:r>
          </w:p>
        </w:tc>
      </w:tr>
      <w:tr w:rsidR="00D72D5B" w:rsidRPr="0052226C" w14:paraId="2D2AFBD1" w14:textId="77777777" w:rsidTr="003854D8">
        <w:tc>
          <w:tcPr>
            <w:tcW w:w="6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116405" w14:textId="77777777" w:rsidR="00D72D5B" w:rsidRPr="0052226C" w:rsidRDefault="00D72D5B" w:rsidP="003854D8">
            <w:pPr>
              <w:suppressLineNumbers/>
              <w:suppressAutoHyphens/>
              <w:rPr>
                <w:rFonts w:ascii="Arial" w:hAnsi="Arial" w:cs="Arial"/>
                <w:noProof/>
                <w:lang w:eastAsia="zh-CN"/>
              </w:rPr>
            </w:pPr>
            <w:r w:rsidRPr="0052226C">
              <w:rPr>
                <w:rFonts w:ascii="Arial" w:hAnsi="Arial" w:cs="Arial"/>
                <w:noProof/>
                <w:lang w:eastAsia="zh-CN"/>
              </w:rPr>
              <w:t>Ostali nespomenuti rashodi poslovanja  (329)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36D7B3" w14:textId="01EAFDD9" w:rsidR="00D72D5B" w:rsidRPr="0052226C" w:rsidRDefault="003B0D44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hAnsi="Arial" w:cs="Arial"/>
                <w:noProof/>
                <w:lang w:eastAsia="zh-CN"/>
              </w:rPr>
              <w:t>23.429,06</w:t>
            </w:r>
          </w:p>
        </w:tc>
        <w:tc>
          <w:tcPr>
            <w:tcW w:w="13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FDDD99" w14:textId="5FCBA738" w:rsidR="00D72D5B" w:rsidRPr="0052226C" w:rsidRDefault="003B0D44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hAnsi="Arial" w:cs="Arial"/>
                <w:noProof/>
                <w:lang w:eastAsia="zh-CN"/>
              </w:rPr>
              <w:t>0,61</w:t>
            </w:r>
          </w:p>
        </w:tc>
      </w:tr>
      <w:tr w:rsidR="00D72D5B" w:rsidRPr="0052226C" w14:paraId="18D0D079" w14:textId="77777777" w:rsidTr="003854D8">
        <w:tc>
          <w:tcPr>
            <w:tcW w:w="6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0B5478" w14:textId="77777777" w:rsidR="00D72D5B" w:rsidRPr="0052226C" w:rsidRDefault="00D72D5B" w:rsidP="003854D8">
            <w:pPr>
              <w:suppressLineNumbers/>
              <w:suppressAutoHyphens/>
              <w:rPr>
                <w:rFonts w:ascii="Arial" w:hAnsi="Arial" w:cs="Arial"/>
                <w:noProof/>
                <w:lang w:eastAsia="zh-CN"/>
              </w:rPr>
            </w:pPr>
            <w:r w:rsidRPr="0052226C">
              <w:rPr>
                <w:rFonts w:ascii="Arial" w:hAnsi="Arial" w:cs="Arial"/>
                <w:noProof/>
                <w:lang w:eastAsia="zh-CN"/>
              </w:rPr>
              <w:t>Financijski rashodi  (34)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B46DBC" w14:textId="1CA1AE5E" w:rsidR="00D72D5B" w:rsidRPr="0052226C" w:rsidRDefault="003B0D44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hAnsi="Arial" w:cs="Arial"/>
                <w:noProof/>
                <w:lang w:eastAsia="zh-CN"/>
              </w:rPr>
              <w:t>4.465,29</w:t>
            </w:r>
          </w:p>
        </w:tc>
        <w:tc>
          <w:tcPr>
            <w:tcW w:w="13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E2C5F2" w14:textId="2F065DE8" w:rsidR="00D72D5B" w:rsidRPr="0052226C" w:rsidRDefault="003B0D44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hAnsi="Arial" w:cs="Arial"/>
                <w:noProof/>
                <w:lang w:eastAsia="zh-CN"/>
              </w:rPr>
              <w:t>0,1</w:t>
            </w:r>
            <w:r w:rsidR="006E43CE">
              <w:rPr>
                <w:rFonts w:ascii="Arial" w:hAnsi="Arial" w:cs="Arial"/>
                <w:noProof/>
                <w:lang w:eastAsia="zh-CN"/>
              </w:rPr>
              <w:t>1</w:t>
            </w:r>
          </w:p>
        </w:tc>
      </w:tr>
      <w:tr w:rsidR="00D72D5B" w:rsidRPr="0052226C" w14:paraId="53A98584" w14:textId="77777777" w:rsidTr="003854D8">
        <w:tc>
          <w:tcPr>
            <w:tcW w:w="6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DA79AA" w14:textId="77777777" w:rsidR="00D72D5B" w:rsidRPr="0052226C" w:rsidRDefault="00D72D5B" w:rsidP="003854D8">
            <w:pPr>
              <w:suppressLineNumbers/>
              <w:suppressAutoHyphens/>
              <w:rPr>
                <w:rFonts w:ascii="Arial" w:hAnsi="Arial" w:cs="Arial"/>
                <w:noProof/>
                <w:lang w:eastAsia="zh-CN"/>
              </w:rPr>
            </w:pPr>
            <w:r w:rsidRPr="0052226C">
              <w:rPr>
                <w:rFonts w:ascii="Arial" w:hAnsi="Arial" w:cs="Arial"/>
                <w:noProof/>
                <w:lang w:eastAsia="zh-CN"/>
              </w:rPr>
              <w:t>Ostali rashodi  (38)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7A4214" w14:textId="2A3D0D90" w:rsidR="00D72D5B" w:rsidRPr="0052226C" w:rsidRDefault="003B0D44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>
              <w:rPr>
                <w:rFonts w:ascii="Arial" w:hAnsi="Arial" w:cs="Arial"/>
                <w:noProof/>
                <w:lang w:eastAsia="zh-CN"/>
              </w:rPr>
              <w:t>784,62</w:t>
            </w:r>
          </w:p>
        </w:tc>
        <w:tc>
          <w:tcPr>
            <w:tcW w:w="13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A45D282" w14:textId="0E126698" w:rsidR="00D72D5B" w:rsidRPr="0052226C" w:rsidRDefault="00D72D5B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 w:rsidRPr="0052226C">
              <w:rPr>
                <w:rFonts w:ascii="Arial" w:hAnsi="Arial" w:cs="Arial"/>
                <w:noProof/>
                <w:lang w:eastAsia="zh-CN"/>
              </w:rPr>
              <w:t>0,0</w:t>
            </w:r>
            <w:r w:rsidR="006E43CE">
              <w:rPr>
                <w:rFonts w:ascii="Arial" w:hAnsi="Arial" w:cs="Arial"/>
                <w:noProof/>
                <w:lang w:eastAsia="zh-CN"/>
              </w:rPr>
              <w:t>1</w:t>
            </w:r>
          </w:p>
        </w:tc>
      </w:tr>
      <w:tr w:rsidR="00D72D5B" w:rsidRPr="0052226C" w14:paraId="5B3021BF" w14:textId="77777777" w:rsidTr="003854D8">
        <w:tc>
          <w:tcPr>
            <w:tcW w:w="67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73ECF3" w14:textId="77777777" w:rsidR="00D72D5B" w:rsidRPr="0052226C" w:rsidRDefault="00D72D5B" w:rsidP="003854D8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noProof/>
                <w:lang w:eastAsia="zh-CN"/>
              </w:rPr>
            </w:pPr>
            <w:r w:rsidRPr="0052226C">
              <w:rPr>
                <w:rFonts w:ascii="Arial" w:hAnsi="Arial" w:cs="Arial"/>
                <w:b/>
                <w:bCs/>
                <w:noProof/>
                <w:lang w:eastAsia="zh-CN"/>
              </w:rPr>
              <w:t>U K U P N O:</w:t>
            </w:r>
          </w:p>
        </w:tc>
        <w:tc>
          <w:tcPr>
            <w:tcW w:w="159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55F181" w14:textId="71155AFB" w:rsidR="00D72D5B" w:rsidRPr="0052226C" w:rsidRDefault="003B0D44" w:rsidP="003854D8">
            <w:pPr>
              <w:suppressLineNumbers/>
              <w:suppressAutoHyphens/>
              <w:jc w:val="right"/>
              <w:rPr>
                <w:rFonts w:ascii="Arial" w:hAnsi="Arial" w:cs="Arial"/>
                <w:b/>
                <w:bCs/>
                <w:noProof/>
                <w:lang w:eastAsia="zh-CN"/>
              </w:rPr>
            </w:pPr>
            <w:r>
              <w:rPr>
                <w:rFonts w:ascii="Arial" w:hAnsi="Arial" w:cs="Arial"/>
                <w:b/>
                <w:bCs/>
                <w:noProof/>
                <w:lang w:eastAsia="zh-CN"/>
              </w:rPr>
              <w:t>3.845.569,28</w:t>
            </w:r>
          </w:p>
        </w:tc>
        <w:tc>
          <w:tcPr>
            <w:tcW w:w="131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1EC9C9" w14:textId="77777777" w:rsidR="00D72D5B" w:rsidRPr="0052226C" w:rsidRDefault="00D72D5B" w:rsidP="003854D8">
            <w:pPr>
              <w:suppressLineNumbers/>
              <w:suppressAutoHyphens/>
              <w:jc w:val="right"/>
              <w:rPr>
                <w:rFonts w:ascii="Arial" w:hAnsi="Arial" w:cs="Arial"/>
                <w:noProof/>
                <w:lang w:eastAsia="zh-CN"/>
              </w:rPr>
            </w:pPr>
            <w:r w:rsidRPr="0052226C">
              <w:rPr>
                <w:rFonts w:ascii="Arial" w:hAnsi="Arial" w:cs="Arial"/>
                <w:b/>
                <w:bCs/>
                <w:noProof/>
                <w:lang w:eastAsia="zh-CN"/>
              </w:rPr>
              <w:t>100,0</w:t>
            </w:r>
          </w:p>
        </w:tc>
      </w:tr>
      <w:bookmarkEnd w:id="5"/>
    </w:tbl>
    <w:p w14:paraId="3603FD4C" w14:textId="77777777" w:rsidR="000324B1" w:rsidRDefault="000324B1" w:rsidP="00D72D5B">
      <w:pPr>
        <w:spacing w:after="120" w:line="360" w:lineRule="auto"/>
        <w:jc w:val="both"/>
        <w:rPr>
          <w:rFonts w:ascii="Arial" w:hAnsi="Arial" w:cs="Arial"/>
        </w:rPr>
      </w:pPr>
    </w:p>
    <w:p w14:paraId="65C85855" w14:textId="77777777" w:rsidR="00F87756" w:rsidRDefault="00F87756" w:rsidP="00D72D5B">
      <w:pPr>
        <w:spacing w:after="120" w:line="360" w:lineRule="auto"/>
        <w:jc w:val="both"/>
        <w:rPr>
          <w:rFonts w:ascii="Arial" w:hAnsi="Arial" w:cs="Arial"/>
        </w:rPr>
      </w:pPr>
    </w:p>
    <w:p w14:paraId="65D82BFA" w14:textId="77777777" w:rsidR="00D72D5B" w:rsidRDefault="00D72D5B" w:rsidP="00D72D5B">
      <w:pPr>
        <w:pStyle w:val="Naslov2"/>
        <w:rPr>
          <w:rFonts w:ascii="Arial" w:hAnsi="Arial" w:cs="Arial"/>
          <w:sz w:val="24"/>
          <w:lang w:val="hr-HR"/>
        </w:rPr>
      </w:pPr>
      <w:bookmarkStart w:id="6" w:name="_Toc172785193"/>
      <w:r w:rsidRPr="00BF52C7">
        <w:rPr>
          <w:rFonts w:ascii="Arial" w:hAnsi="Arial" w:cs="Arial"/>
          <w:sz w:val="24"/>
          <w:lang w:val="hr-HR"/>
        </w:rPr>
        <w:t>3.1. RASHODI ZA ZAPOSLENE</w:t>
      </w:r>
      <w:bookmarkEnd w:id="6"/>
      <w:r w:rsidRPr="00BF52C7">
        <w:rPr>
          <w:rFonts w:ascii="Arial" w:hAnsi="Arial" w:cs="Arial"/>
          <w:sz w:val="24"/>
          <w:lang w:val="hr-HR"/>
        </w:rPr>
        <w:t xml:space="preserve"> </w:t>
      </w:r>
    </w:p>
    <w:p w14:paraId="311BF5CE" w14:textId="77777777" w:rsidR="00D72D5B" w:rsidRDefault="00D72D5B" w:rsidP="00D72D5B"/>
    <w:p w14:paraId="18B1AD77" w14:textId="79675F67" w:rsidR="00D72D5B" w:rsidRPr="00960334" w:rsidRDefault="00D72D5B" w:rsidP="000324B1">
      <w:pPr>
        <w:pStyle w:val="Tijeloteksta2"/>
        <w:spacing w:line="360" w:lineRule="auto"/>
        <w:ind w:right="-213"/>
        <w:rPr>
          <w:rFonts w:ascii="Arial" w:hAnsi="Arial" w:cs="Arial"/>
          <w:lang w:eastAsia="ar-SA"/>
        </w:rPr>
      </w:pPr>
      <w:r w:rsidRPr="00C06DD8">
        <w:rPr>
          <w:rFonts w:ascii="Arial" w:hAnsi="Arial" w:cs="Arial"/>
        </w:rPr>
        <w:t>Ras</w:t>
      </w:r>
      <w:r>
        <w:rPr>
          <w:rFonts w:ascii="Arial" w:hAnsi="Arial" w:cs="Arial"/>
        </w:rPr>
        <w:t xml:space="preserve">hodi za zaposlene u </w:t>
      </w:r>
      <w:r w:rsidR="000324B1">
        <w:rPr>
          <w:rFonts w:ascii="Arial" w:hAnsi="Arial" w:cs="Arial"/>
        </w:rPr>
        <w:t>prvom polugodištu 2024</w:t>
      </w:r>
      <w:r>
        <w:rPr>
          <w:rFonts w:ascii="Arial" w:hAnsi="Arial" w:cs="Arial"/>
        </w:rPr>
        <w:t xml:space="preserve">. godini veći su u odnosu na prošlu godinu za </w:t>
      </w:r>
      <w:r w:rsidR="000324B1">
        <w:rPr>
          <w:rFonts w:ascii="Arial" w:hAnsi="Arial" w:cs="Arial"/>
        </w:rPr>
        <w:t>37,0</w:t>
      </w:r>
      <w:r>
        <w:rPr>
          <w:rFonts w:ascii="Arial" w:hAnsi="Arial" w:cs="Arial"/>
        </w:rPr>
        <w:t xml:space="preserve">% </w:t>
      </w:r>
      <w:r w:rsidR="000324B1" w:rsidRPr="000324B1">
        <w:rPr>
          <w:rFonts w:ascii="Arial" w:hAnsi="Arial" w:cs="Arial"/>
          <w:lang w:eastAsia="ar-SA"/>
        </w:rPr>
        <w:t xml:space="preserve">radi većeg broja zaposlenih, povećanja osnovice za obračun plaća, </w:t>
      </w:r>
      <w:r w:rsidR="000324B1" w:rsidRPr="000324B1">
        <w:rPr>
          <w:rFonts w:ascii="Arial" w:hAnsi="Arial" w:cs="Arial"/>
          <w:lang w:eastAsia="ar-SA"/>
        </w:rPr>
        <w:lastRenderedPageBreak/>
        <w:t>isplate privremenog dodatka po Odluci Vlade, odnosno nove Uredbe Vlade o nazivima radnih mjesta, uvjetima za raspored i koeficijentima za obračun plaće u javnim službama koja se primjenjuje od 01. ožujka 2024 .godine</w:t>
      </w:r>
      <w:r w:rsidR="00960334">
        <w:rPr>
          <w:rFonts w:ascii="Arial" w:hAnsi="Arial" w:cs="Arial"/>
          <w:lang w:eastAsia="ar-SA"/>
        </w:rPr>
        <w:t xml:space="preserve">  </w:t>
      </w:r>
      <w:r w:rsidR="00960334" w:rsidRPr="00960334">
        <w:rPr>
          <w:rFonts w:ascii="Arial" w:hAnsi="Arial" w:cs="Arial"/>
          <w:lang w:eastAsia="ar-SA"/>
        </w:rPr>
        <w:t>i isplate nagrade za Uskršnje blagdane sukladno novom Kolektivnom ugovoru za zaposlenike u javnim službama (NN 29/2024), a koja u 2023. godini nije isplaćena</w:t>
      </w:r>
      <w:r w:rsidR="000324B1" w:rsidRPr="00960334">
        <w:rPr>
          <w:rFonts w:ascii="Arial" w:hAnsi="Arial" w:cs="Arial"/>
          <w:lang w:eastAsia="ar-SA"/>
        </w:rPr>
        <w:t xml:space="preserve">. </w:t>
      </w:r>
      <w:r w:rsidRPr="00960334">
        <w:rPr>
          <w:rFonts w:ascii="Arial" w:hAnsi="Arial" w:cs="Arial"/>
          <w:noProof/>
          <w:szCs w:val="20"/>
          <w:lang w:eastAsia="zh-CN"/>
        </w:rPr>
        <w:t xml:space="preserve">Rashodi za zaposlene </w:t>
      </w:r>
      <w:r w:rsidR="000324B1" w:rsidRPr="00960334">
        <w:rPr>
          <w:rFonts w:ascii="Arial" w:hAnsi="Arial" w:cs="Arial"/>
          <w:noProof/>
          <w:szCs w:val="20"/>
          <w:lang w:eastAsia="zh-CN"/>
        </w:rPr>
        <w:t xml:space="preserve">veći su </w:t>
      </w:r>
      <w:r w:rsidRPr="00960334">
        <w:rPr>
          <w:rFonts w:ascii="Arial" w:hAnsi="Arial" w:cs="Arial"/>
        </w:rPr>
        <w:t xml:space="preserve">od planiranih za </w:t>
      </w:r>
      <w:r w:rsidR="000324B1" w:rsidRPr="00960334">
        <w:rPr>
          <w:rFonts w:ascii="Arial" w:hAnsi="Arial" w:cs="Arial"/>
        </w:rPr>
        <w:t>7,6</w:t>
      </w:r>
      <w:r w:rsidRPr="00960334">
        <w:rPr>
          <w:rFonts w:ascii="Arial" w:hAnsi="Arial" w:cs="Arial"/>
        </w:rPr>
        <w:t xml:space="preserve">%. </w:t>
      </w:r>
    </w:p>
    <w:p w14:paraId="73586899" w14:textId="77777777" w:rsidR="00D72D5B" w:rsidRPr="00BF52C7" w:rsidRDefault="00D72D5B" w:rsidP="00D72D5B">
      <w:pPr>
        <w:spacing w:after="120"/>
        <w:jc w:val="both"/>
        <w:rPr>
          <w:rFonts w:ascii="Arial" w:hAnsi="Arial" w:cs="Arial"/>
        </w:rPr>
      </w:pPr>
    </w:p>
    <w:p w14:paraId="21B1A288" w14:textId="77777777" w:rsidR="00D72D5B" w:rsidRDefault="00D72D5B" w:rsidP="00D72D5B">
      <w:pPr>
        <w:pStyle w:val="Naslov2"/>
        <w:rPr>
          <w:rFonts w:ascii="Arial" w:hAnsi="Arial" w:cs="Arial"/>
          <w:sz w:val="24"/>
          <w:lang w:val="hr-HR"/>
        </w:rPr>
      </w:pPr>
      <w:bookmarkStart w:id="7" w:name="_Toc172785194"/>
      <w:r w:rsidRPr="00BF52C7">
        <w:rPr>
          <w:rFonts w:ascii="Arial" w:hAnsi="Arial" w:cs="Arial"/>
          <w:sz w:val="24"/>
          <w:lang w:val="hr-HR"/>
        </w:rPr>
        <w:t>3.2. MATERIJALNI RASHODI</w:t>
      </w:r>
      <w:bookmarkEnd w:id="7"/>
      <w:r w:rsidRPr="00BF52C7">
        <w:rPr>
          <w:rFonts w:ascii="Arial" w:hAnsi="Arial" w:cs="Arial"/>
          <w:sz w:val="24"/>
          <w:lang w:val="hr-HR"/>
        </w:rPr>
        <w:t xml:space="preserve"> </w:t>
      </w:r>
    </w:p>
    <w:p w14:paraId="36B4F314" w14:textId="77777777" w:rsidR="00D72D5B" w:rsidRDefault="00D72D5B" w:rsidP="00F87756"/>
    <w:p w14:paraId="56DE1E88" w14:textId="1CC0FBB2" w:rsidR="00D72D5B" w:rsidRDefault="00D72D5B" w:rsidP="0089476B">
      <w:pPr>
        <w:spacing w:line="360" w:lineRule="auto"/>
        <w:ind w:right="-341"/>
        <w:rPr>
          <w:rFonts w:ascii="Arial" w:hAnsi="Arial" w:cs="Arial"/>
        </w:rPr>
      </w:pPr>
      <w:r w:rsidRPr="009F2A32">
        <w:rPr>
          <w:rFonts w:ascii="Arial" w:hAnsi="Arial" w:cs="Arial"/>
        </w:rPr>
        <w:t xml:space="preserve">Materijalni </w:t>
      </w:r>
      <w:r>
        <w:rPr>
          <w:rFonts w:ascii="Arial" w:hAnsi="Arial" w:cs="Arial"/>
        </w:rPr>
        <w:t xml:space="preserve">rashodi izvršeni su u iznosu od </w:t>
      </w:r>
      <w:r w:rsidR="00960334">
        <w:rPr>
          <w:rFonts w:ascii="Arial" w:hAnsi="Arial" w:cs="Arial"/>
        </w:rPr>
        <w:t>860.954,80</w:t>
      </w:r>
      <w:r>
        <w:rPr>
          <w:rFonts w:ascii="Arial" w:hAnsi="Arial" w:cs="Arial"/>
        </w:rPr>
        <w:t xml:space="preserve"> eura, što je </w:t>
      </w:r>
      <w:r w:rsidR="00960334">
        <w:rPr>
          <w:rFonts w:ascii="Arial" w:hAnsi="Arial" w:cs="Arial"/>
        </w:rPr>
        <w:t>48,0</w:t>
      </w:r>
      <w:r>
        <w:rPr>
          <w:rFonts w:ascii="Arial" w:hAnsi="Arial" w:cs="Arial"/>
        </w:rPr>
        <w:t xml:space="preserve">% godišnjeg plana i </w:t>
      </w:r>
      <w:r w:rsidR="00960334">
        <w:rPr>
          <w:rFonts w:ascii="Arial" w:hAnsi="Arial" w:cs="Arial"/>
        </w:rPr>
        <w:t>8,5</w:t>
      </w:r>
      <w:r>
        <w:rPr>
          <w:rFonts w:ascii="Arial" w:hAnsi="Arial" w:cs="Arial"/>
        </w:rPr>
        <w:t xml:space="preserve">% više u odnosu na prošlu godinu, </w:t>
      </w:r>
      <w:r w:rsidRPr="009F2A32">
        <w:rPr>
          <w:rFonts w:ascii="Arial" w:hAnsi="Arial" w:cs="Arial"/>
        </w:rPr>
        <w:t xml:space="preserve">zbog povećanja rashoda </w:t>
      </w:r>
      <w:r w:rsidRPr="00960334">
        <w:rPr>
          <w:rFonts w:ascii="Arial" w:hAnsi="Arial" w:cs="Arial"/>
        </w:rPr>
        <w:t xml:space="preserve">za </w:t>
      </w:r>
      <w:r w:rsidR="00960334" w:rsidRPr="00960334">
        <w:rPr>
          <w:rFonts w:ascii="Arial" w:hAnsi="Arial" w:cs="Arial"/>
          <w:szCs w:val="20"/>
          <w:lang w:eastAsia="zh-CN"/>
        </w:rPr>
        <w:t xml:space="preserve"> lijekove i potrošni medicinski materijal za 10,2% ,  povećanja rashoda za uredski materijal, sredstva za čišćenje i materijala za higijenske potrebe </w:t>
      </w:r>
      <w:r w:rsidR="00960334">
        <w:rPr>
          <w:rFonts w:ascii="Arial" w:hAnsi="Arial" w:cs="Arial"/>
          <w:szCs w:val="20"/>
          <w:lang w:eastAsia="zh-CN"/>
        </w:rPr>
        <w:t xml:space="preserve"> za </w:t>
      </w:r>
      <w:r w:rsidR="0089476B">
        <w:rPr>
          <w:rFonts w:ascii="Arial" w:hAnsi="Arial" w:cs="Arial"/>
          <w:szCs w:val="20"/>
          <w:lang w:eastAsia="zh-CN"/>
        </w:rPr>
        <w:t xml:space="preserve">56,6%, povećanja rashoda za </w:t>
      </w:r>
      <w:r w:rsidRPr="009F2A32">
        <w:rPr>
          <w:rFonts w:ascii="Arial" w:hAnsi="Arial" w:cs="Arial"/>
        </w:rPr>
        <w:t>uslug</w:t>
      </w:r>
      <w:r w:rsidR="0089476B">
        <w:rPr>
          <w:rFonts w:ascii="Arial" w:hAnsi="Arial" w:cs="Arial"/>
        </w:rPr>
        <w:t>e</w:t>
      </w:r>
      <w:r w:rsidRPr="009F2A32">
        <w:rPr>
          <w:rFonts w:ascii="Arial" w:hAnsi="Arial" w:cs="Arial"/>
        </w:rPr>
        <w:t xml:space="preserve"> tekućeg i investicijskog održavanja </w:t>
      </w:r>
      <w:r w:rsidR="0089476B">
        <w:rPr>
          <w:rFonts w:ascii="Arial" w:hAnsi="Arial" w:cs="Arial"/>
        </w:rPr>
        <w:t xml:space="preserve">za 44,4% </w:t>
      </w:r>
      <w:r w:rsidRPr="009F2A32">
        <w:rPr>
          <w:rFonts w:ascii="Arial" w:hAnsi="Arial" w:cs="Arial"/>
        </w:rPr>
        <w:t xml:space="preserve">, te povećanja rashoda za zdravstvene usluge koji su veći u odnosu na prošlu godinu za </w:t>
      </w:r>
      <w:r w:rsidR="0089476B">
        <w:rPr>
          <w:rFonts w:ascii="Arial" w:hAnsi="Arial" w:cs="Arial"/>
        </w:rPr>
        <w:t>29,9</w:t>
      </w:r>
      <w:r w:rsidRPr="009F2A32">
        <w:rPr>
          <w:rFonts w:ascii="Arial" w:hAnsi="Arial" w:cs="Arial"/>
        </w:rPr>
        <w:t>%</w:t>
      </w:r>
      <w:r w:rsidR="0089476B">
        <w:rPr>
          <w:rFonts w:ascii="Arial" w:hAnsi="Arial" w:cs="Arial"/>
        </w:rPr>
        <w:t>.</w:t>
      </w:r>
    </w:p>
    <w:p w14:paraId="22462033" w14:textId="77777777" w:rsidR="00D72D5B" w:rsidRDefault="00D72D5B" w:rsidP="00D72D5B">
      <w:pPr>
        <w:spacing w:after="120" w:line="360" w:lineRule="auto"/>
        <w:jc w:val="both"/>
        <w:rPr>
          <w:rFonts w:ascii="Arial" w:hAnsi="Arial" w:cs="Arial"/>
        </w:rPr>
      </w:pPr>
    </w:p>
    <w:p w14:paraId="774E015E" w14:textId="77777777" w:rsidR="00D72D5B" w:rsidRPr="00BF52C7" w:rsidRDefault="00D72D5B" w:rsidP="00D72D5B">
      <w:pPr>
        <w:pStyle w:val="Naslov2"/>
        <w:rPr>
          <w:rFonts w:ascii="Arial" w:hAnsi="Arial" w:cs="Arial"/>
          <w:sz w:val="24"/>
          <w:lang w:val="hr-HR"/>
        </w:rPr>
      </w:pPr>
      <w:bookmarkStart w:id="8" w:name="_Toc172785195"/>
      <w:r w:rsidRPr="00BF52C7">
        <w:rPr>
          <w:rFonts w:ascii="Arial" w:hAnsi="Arial" w:cs="Arial"/>
          <w:sz w:val="24"/>
          <w:lang w:val="hr-HR"/>
        </w:rPr>
        <w:t>3.3. FINANCIJSKI RASHODI</w:t>
      </w:r>
      <w:bookmarkEnd w:id="8"/>
      <w:r w:rsidRPr="00BF52C7">
        <w:rPr>
          <w:rFonts w:ascii="Arial" w:hAnsi="Arial" w:cs="Arial"/>
          <w:sz w:val="24"/>
          <w:lang w:val="hr-HR"/>
        </w:rPr>
        <w:t xml:space="preserve"> </w:t>
      </w:r>
    </w:p>
    <w:p w14:paraId="06975FE0" w14:textId="77777777" w:rsidR="00D72D5B" w:rsidRDefault="00D72D5B" w:rsidP="00D72D5B">
      <w:pPr>
        <w:spacing w:after="120"/>
        <w:jc w:val="both"/>
        <w:rPr>
          <w:rFonts w:ascii="Arial" w:hAnsi="Arial" w:cs="Arial"/>
          <w:highlight w:val="yellow"/>
        </w:rPr>
      </w:pPr>
    </w:p>
    <w:p w14:paraId="7845B710" w14:textId="010E9C6A" w:rsidR="00D72D5B" w:rsidRDefault="00D72D5B" w:rsidP="00D72D5B">
      <w:pPr>
        <w:spacing w:after="120" w:line="360" w:lineRule="auto"/>
        <w:jc w:val="both"/>
        <w:rPr>
          <w:rFonts w:ascii="Arial" w:hAnsi="Arial" w:cs="Arial"/>
        </w:rPr>
      </w:pPr>
      <w:r w:rsidRPr="00ED1C58">
        <w:rPr>
          <w:rFonts w:ascii="Arial" w:hAnsi="Arial" w:cs="Arial"/>
        </w:rPr>
        <w:t xml:space="preserve">Financijski rashodi odnose se na kamate za primljene kredite, bankarske usluge </w:t>
      </w:r>
      <w:r>
        <w:rPr>
          <w:rFonts w:ascii="Arial" w:hAnsi="Arial" w:cs="Arial"/>
        </w:rPr>
        <w:t>i</w:t>
      </w:r>
      <w:r w:rsidRPr="00ED1C58">
        <w:rPr>
          <w:rFonts w:ascii="Arial" w:hAnsi="Arial" w:cs="Arial"/>
        </w:rPr>
        <w:t xml:space="preserve"> usluge platnog prometa, te zatezne kamate. U odnosu na prošlu godinu </w:t>
      </w:r>
      <w:r w:rsidR="0089476B">
        <w:rPr>
          <w:rFonts w:ascii="Arial" w:hAnsi="Arial" w:cs="Arial"/>
        </w:rPr>
        <w:t>veći su</w:t>
      </w:r>
      <w:r w:rsidRPr="00ED1C58">
        <w:rPr>
          <w:rFonts w:ascii="Arial" w:hAnsi="Arial" w:cs="Arial"/>
        </w:rPr>
        <w:t xml:space="preserve"> za </w:t>
      </w:r>
      <w:r w:rsidR="0089476B">
        <w:rPr>
          <w:rFonts w:ascii="Arial" w:hAnsi="Arial" w:cs="Arial"/>
        </w:rPr>
        <w:t>37,0</w:t>
      </w:r>
      <w:r w:rsidRPr="00ED1C58">
        <w:rPr>
          <w:rFonts w:ascii="Arial" w:hAnsi="Arial" w:cs="Arial"/>
        </w:rPr>
        <w:t xml:space="preserve">%, te </w:t>
      </w:r>
      <w:r w:rsidR="0089476B">
        <w:rPr>
          <w:rFonts w:ascii="Arial" w:hAnsi="Arial" w:cs="Arial"/>
        </w:rPr>
        <w:t>21,8%</w:t>
      </w:r>
      <w:r w:rsidRPr="00ED1C58">
        <w:rPr>
          <w:rFonts w:ascii="Arial" w:hAnsi="Arial" w:cs="Arial"/>
        </w:rPr>
        <w:t xml:space="preserve">  u odnosu na godišnji plan.</w:t>
      </w:r>
    </w:p>
    <w:p w14:paraId="258CE4D7" w14:textId="77777777" w:rsidR="00D72D5B" w:rsidRDefault="00D72D5B" w:rsidP="00D72D5B">
      <w:pPr>
        <w:spacing w:after="120"/>
        <w:jc w:val="both"/>
        <w:rPr>
          <w:rFonts w:ascii="Arial" w:hAnsi="Arial" w:cs="Arial"/>
        </w:rPr>
      </w:pPr>
    </w:p>
    <w:p w14:paraId="2933C1AE" w14:textId="77777777" w:rsidR="00D72D5B" w:rsidRDefault="00D72D5B" w:rsidP="00D72D5B">
      <w:pPr>
        <w:pStyle w:val="Naslov2"/>
        <w:rPr>
          <w:rFonts w:ascii="Arial" w:hAnsi="Arial" w:cs="Arial"/>
          <w:sz w:val="24"/>
          <w:lang w:val="hr-HR"/>
        </w:rPr>
      </w:pPr>
      <w:bookmarkStart w:id="9" w:name="_Toc172785196"/>
      <w:r w:rsidRPr="00BF52C7">
        <w:rPr>
          <w:rFonts w:ascii="Arial" w:hAnsi="Arial" w:cs="Arial"/>
          <w:sz w:val="24"/>
          <w:lang w:val="hr-HR"/>
        </w:rPr>
        <w:t>3.4. SUBVENCIJE</w:t>
      </w:r>
      <w:bookmarkEnd w:id="9"/>
      <w:r w:rsidRPr="00BF52C7">
        <w:rPr>
          <w:rFonts w:ascii="Arial" w:hAnsi="Arial" w:cs="Arial"/>
          <w:sz w:val="24"/>
          <w:lang w:val="hr-HR"/>
        </w:rPr>
        <w:t xml:space="preserve">   </w:t>
      </w:r>
    </w:p>
    <w:p w14:paraId="419A052E" w14:textId="77777777" w:rsidR="00D72D5B" w:rsidRDefault="00D72D5B" w:rsidP="00D72D5B">
      <w:pPr>
        <w:spacing w:after="120"/>
        <w:jc w:val="both"/>
        <w:rPr>
          <w:rFonts w:ascii="Arial" w:hAnsi="Arial" w:cs="Arial"/>
          <w:highlight w:val="yellow"/>
        </w:rPr>
      </w:pPr>
    </w:p>
    <w:p w14:paraId="4CC58ECD" w14:textId="361A7DEB" w:rsidR="00D72D5B" w:rsidRPr="00BF52C7" w:rsidRDefault="00D72D5B" w:rsidP="00D72D5B">
      <w:pPr>
        <w:spacing w:after="120" w:line="360" w:lineRule="auto"/>
        <w:jc w:val="both"/>
      </w:pPr>
      <w:r w:rsidRPr="00ED1C58">
        <w:rPr>
          <w:rFonts w:ascii="Arial" w:hAnsi="Arial" w:cs="Arial"/>
        </w:rPr>
        <w:t>U 202</w:t>
      </w:r>
      <w:r w:rsidR="0089476B">
        <w:rPr>
          <w:rFonts w:ascii="Arial" w:hAnsi="Arial" w:cs="Arial"/>
        </w:rPr>
        <w:t>4</w:t>
      </w:r>
      <w:r w:rsidRPr="00ED1C58">
        <w:rPr>
          <w:rFonts w:ascii="Arial" w:hAnsi="Arial" w:cs="Arial"/>
        </w:rPr>
        <w:t xml:space="preserve">. godini Dom zdravlja Varaždinske županije nema planiranih ni </w:t>
      </w:r>
      <w:r>
        <w:rPr>
          <w:rFonts w:ascii="Arial" w:hAnsi="Arial" w:cs="Arial"/>
        </w:rPr>
        <w:t>realiziranih</w:t>
      </w:r>
      <w:r w:rsidRPr="00ED1C58">
        <w:rPr>
          <w:rFonts w:ascii="Arial" w:hAnsi="Arial" w:cs="Arial"/>
        </w:rPr>
        <w:t xml:space="preserve"> subvencija.</w:t>
      </w:r>
    </w:p>
    <w:p w14:paraId="52042730" w14:textId="77777777" w:rsidR="00D72D5B" w:rsidRPr="00BF52C7" w:rsidRDefault="00D72D5B" w:rsidP="00D72D5B">
      <w:pPr>
        <w:tabs>
          <w:tab w:val="left" w:pos="720"/>
        </w:tabs>
        <w:rPr>
          <w:rFonts w:ascii="Arial" w:hAnsi="Arial" w:cs="Arial"/>
        </w:rPr>
      </w:pPr>
    </w:p>
    <w:p w14:paraId="046038AE" w14:textId="77777777" w:rsidR="00D72D5B" w:rsidRDefault="00D72D5B" w:rsidP="00D72D5B">
      <w:pPr>
        <w:pStyle w:val="Naslov2"/>
        <w:rPr>
          <w:rFonts w:ascii="Arial" w:hAnsi="Arial" w:cs="Arial"/>
          <w:color w:val="auto"/>
          <w:sz w:val="24"/>
          <w:lang w:val="hr-HR"/>
        </w:rPr>
      </w:pPr>
      <w:bookmarkStart w:id="10" w:name="_Toc172785197"/>
      <w:r w:rsidRPr="00BF52C7">
        <w:rPr>
          <w:rFonts w:ascii="Arial" w:hAnsi="Arial" w:cs="Arial"/>
          <w:color w:val="auto"/>
          <w:sz w:val="24"/>
          <w:lang w:val="hr-HR"/>
        </w:rPr>
        <w:t>3.5. POMOĆI</w:t>
      </w:r>
      <w:bookmarkEnd w:id="10"/>
      <w:r w:rsidRPr="00BF52C7">
        <w:rPr>
          <w:rFonts w:ascii="Arial" w:hAnsi="Arial" w:cs="Arial"/>
          <w:color w:val="auto"/>
          <w:sz w:val="24"/>
          <w:lang w:val="hr-HR"/>
        </w:rPr>
        <w:t xml:space="preserve"> </w:t>
      </w:r>
    </w:p>
    <w:p w14:paraId="7A6B0F53" w14:textId="77777777" w:rsidR="00D72D5B" w:rsidRPr="00ED1C58" w:rsidRDefault="00D72D5B" w:rsidP="00D72D5B"/>
    <w:p w14:paraId="7837D21E" w14:textId="66D4D177" w:rsidR="00D72D5B" w:rsidRDefault="00D72D5B" w:rsidP="00D72D5B">
      <w:pPr>
        <w:spacing w:after="120" w:line="360" w:lineRule="auto"/>
        <w:jc w:val="both"/>
        <w:rPr>
          <w:rFonts w:ascii="Arial" w:hAnsi="Arial" w:cs="Arial"/>
        </w:rPr>
      </w:pPr>
      <w:r w:rsidRPr="00ED1C58">
        <w:rPr>
          <w:rFonts w:ascii="Arial" w:hAnsi="Arial" w:cs="Arial"/>
        </w:rPr>
        <w:t>U 202</w:t>
      </w:r>
      <w:r w:rsidR="0089476B">
        <w:rPr>
          <w:rFonts w:ascii="Arial" w:hAnsi="Arial" w:cs="Arial"/>
        </w:rPr>
        <w:t>4</w:t>
      </w:r>
      <w:r w:rsidRPr="00ED1C58">
        <w:rPr>
          <w:rFonts w:ascii="Arial" w:hAnsi="Arial" w:cs="Arial"/>
        </w:rPr>
        <w:t xml:space="preserve">. godini Dom zdravlja Varaždinske županije nema planiranih ni izvršenih </w:t>
      </w:r>
      <w:r>
        <w:rPr>
          <w:rFonts w:ascii="Arial" w:hAnsi="Arial" w:cs="Arial"/>
        </w:rPr>
        <w:t>pomoći</w:t>
      </w:r>
      <w:r w:rsidRPr="00ED1C58">
        <w:rPr>
          <w:rFonts w:ascii="Arial" w:hAnsi="Arial" w:cs="Arial"/>
        </w:rPr>
        <w:t>.</w:t>
      </w:r>
    </w:p>
    <w:p w14:paraId="27981707" w14:textId="77777777" w:rsidR="00F87756" w:rsidRDefault="00F87756" w:rsidP="00D72D5B">
      <w:pPr>
        <w:spacing w:after="120" w:line="360" w:lineRule="auto"/>
        <w:jc w:val="both"/>
        <w:rPr>
          <w:rFonts w:ascii="Arial" w:hAnsi="Arial" w:cs="Arial"/>
        </w:rPr>
      </w:pPr>
    </w:p>
    <w:p w14:paraId="63E8F22B" w14:textId="77777777" w:rsidR="00F87756" w:rsidRDefault="00F87756" w:rsidP="00D72D5B">
      <w:pPr>
        <w:spacing w:after="120" w:line="360" w:lineRule="auto"/>
        <w:jc w:val="both"/>
        <w:rPr>
          <w:rFonts w:ascii="Arial" w:hAnsi="Arial" w:cs="Arial"/>
        </w:rPr>
      </w:pPr>
    </w:p>
    <w:p w14:paraId="2D8962C3" w14:textId="77777777" w:rsidR="00F87756" w:rsidRDefault="00F87756" w:rsidP="00D72D5B">
      <w:pPr>
        <w:spacing w:after="120" w:line="360" w:lineRule="auto"/>
        <w:jc w:val="both"/>
        <w:rPr>
          <w:rFonts w:ascii="Arial" w:hAnsi="Arial" w:cs="Arial"/>
        </w:rPr>
      </w:pPr>
    </w:p>
    <w:p w14:paraId="5134FB6A" w14:textId="77777777" w:rsidR="00D72D5B" w:rsidRPr="00BF52C7" w:rsidRDefault="00D72D5B" w:rsidP="00D72D5B">
      <w:pPr>
        <w:pStyle w:val="Naslov2"/>
        <w:rPr>
          <w:rFonts w:ascii="Arial" w:hAnsi="Arial" w:cs="Arial"/>
          <w:sz w:val="24"/>
          <w:lang w:val="hr-HR"/>
        </w:rPr>
      </w:pPr>
      <w:bookmarkStart w:id="11" w:name="_Toc172785198"/>
      <w:r w:rsidRPr="00BF52C7">
        <w:rPr>
          <w:rFonts w:ascii="Arial" w:hAnsi="Arial" w:cs="Arial"/>
          <w:sz w:val="24"/>
          <w:lang w:val="hr-HR"/>
        </w:rPr>
        <w:lastRenderedPageBreak/>
        <w:t>3.6. NAKNADE GRAĐANIMA I KUĆANSTVIMA</w:t>
      </w:r>
      <w:bookmarkEnd w:id="11"/>
    </w:p>
    <w:p w14:paraId="789DFF80" w14:textId="77777777" w:rsidR="00D72D5B" w:rsidRDefault="00D72D5B" w:rsidP="00D72D5B">
      <w:pPr>
        <w:spacing w:after="120"/>
        <w:jc w:val="both"/>
        <w:rPr>
          <w:rFonts w:ascii="Arial" w:hAnsi="Arial" w:cs="Arial"/>
          <w:highlight w:val="yellow"/>
        </w:rPr>
      </w:pPr>
    </w:p>
    <w:p w14:paraId="605FC437" w14:textId="1C4DD8EC" w:rsidR="00D72D5B" w:rsidRDefault="00D72D5B" w:rsidP="00D72D5B">
      <w:pPr>
        <w:spacing w:after="120" w:line="360" w:lineRule="auto"/>
        <w:jc w:val="both"/>
        <w:rPr>
          <w:rFonts w:ascii="Arial" w:hAnsi="Arial" w:cs="Arial"/>
        </w:rPr>
      </w:pPr>
      <w:r w:rsidRPr="007C0D81">
        <w:rPr>
          <w:rFonts w:ascii="Arial" w:hAnsi="Arial" w:cs="Arial"/>
        </w:rPr>
        <w:t>U planu za 202</w:t>
      </w:r>
      <w:r w:rsidR="0089476B">
        <w:rPr>
          <w:rFonts w:ascii="Arial" w:hAnsi="Arial" w:cs="Arial"/>
        </w:rPr>
        <w:t>4</w:t>
      </w:r>
      <w:r w:rsidRPr="007C0D81">
        <w:rPr>
          <w:rFonts w:ascii="Arial" w:hAnsi="Arial" w:cs="Arial"/>
        </w:rPr>
        <w:t xml:space="preserve">. godinu planirani su rashodi za naknade zaposlenima na ime troškova stanovanja u iznosu od </w:t>
      </w:r>
      <w:r w:rsidR="0089476B">
        <w:rPr>
          <w:rFonts w:ascii="Arial" w:hAnsi="Arial" w:cs="Arial"/>
        </w:rPr>
        <w:t>8.260</w:t>
      </w:r>
      <w:r w:rsidRPr="007C0D81">
        <w:rPr>
          <w:rFonts w:ascii="Arial" w:hAnsi="Arial" w:cs="Arial"/>
        </w:rPr>
        <w:t xml:space="preserve">,00 eura, ali u </w:t>
      </w:r>
      <w:r w:rsidR="0089476B">
        <w:rPr>
          <w:rFonts w:ascii="Arial" w:hAnsi="Arial" w:cs="Arial"/>
        </w:rPr>
        <w:t xml:space="preserve">prvom polugodištu 2024. </w:t>
      </w:r>
      <w:r w:rsidRPr="007C0D81">
        <w:rPr>
          <w:rFonts w:ascii="Arial" w:hAnsi="Arial" w:cs="Arial"/>
        </w:rPr>
        <w:t>godin</w:t>
      </w:r>
      <w:r w:rsidR="0089476B">
        <w:rPr>
          <w:rFonts w:ascii="Arial" w:hAnsi="Arial" w:cs="Arial"/>
        </w:rPr>
        <w:t>e</w:t>
      </w:r>
      <w:r w:rsidRPr="007C0D81">
        <w:rPr>
          <w:rFonts w:ascii="Arial" w:hAnsi="Arial" w:cs="Arial"/>
        </w:rPr>
        <w:t xml:space="preserve"> nisu ostvareni.</w:t>
      </w:r>
    </w:p>
    <w:p w14:paraId="4D6548D5" w14:textId="77777777" w:rsidR="00F87756" w:rsidRPr="007C0D81" w:rsidRDefault="00F87756" w:rsidP="00D72D5B">
      <w:pPr>
        <w:spacing w:after="120" w:line="360" w:lineRule="auto"/>
        <w:jc w:val="both"/>
        <w:rPr>
          <w:rFonts w:ascii="Arial" w:hAnsi="Arial" w:cs="Arial"/>
        </w:rPr>
      </w:pPr>
    </w:p>
    <w:p w14:paraId="2EAE82C1" w14:textId="77777777" w:rsidR="00D72D5B" w:rsidRPr="00BF52C7" w:rsidRDefault="00D72D5B" w:rsidP="00D72D5B">
      <w:pPr>
        <w:pStyle w:val="Naslov2"/>
        <w:rPr>
          <w:rFonts w:ascii="Arial" w:hAnsi="Arial" w:cs="Arial"/>
          <w:sz w:val="24"/>
          <w:lang w:val="hr-HR"/>
        </w:rPr>
      </w:pPr>
      <w:bookmarkStart w:id="12" w:name="_Toc172785199"/>
      <w:r w:rsidRPr="00BF52C7">
        <w:rPr>
          <w:rFonts w:ascii="Arial" w:hAnsi="Arial" w:cs="Arial"/>
          <w:sz w:val="24"/>
          <w:lang w:val="hr-HR"/>
        </w:rPr>
        <w:t>3.7. OSTALI RASHODI</w:t>
      </w:r>
      <w:bookmarkEnd w:id="12"/>
    </w:p>
    <w:p w14:paraId="77DAF981" w14:textId="77777777" w:rsidR="00D72D5B" w:rsidRDefault="00D72D5B" w:rsidP="00D72D5B">
      <w:pPr>
        <w:spacing w:after="120"/>
        <w:jc w:val="both"/>
        <w:rPr>
          <w:rFonts w:ascii="Arial" w:hAnsi="Arial" w:cs="Arial"/>
          <w:highlight w:val="yellow"/>
        </w:rPr>
      </w:pPr>
    </w:p>
    <w:p w14:paraId="26A2D070" w14:textId="73E64B04" w:rsidR="00D72D5B" w:rsidRDefault="00D72D5B" w:rsidP="00D72D5B">
      <w:pPr>
        <w:spacing w:after="120" w:line="360" w:lineRule="auto"/>
        <w:jc w:val="both"/>
        <w:rPr>
          <w:rFonts w:ascii="Arial" w:hAnsi="Arial" w:cs="Arial"/>
        </w:rPr>
      </w:pPr>
      <w:r w:rsidRPr="00381359">
        <w:rPr>
          <w:rFonts w:ascii="Arial" w:hAnsi="Arial" w:cs="Arial"/>
        </w:rPr>
        <w:t xml:space="preserve">Ostali rashodi se odnose na naknadu štete fizičkoj osobi po sudskoj presudi iz 2007. godine, izvršeni su u iznosu od </w:t>
      </w:r>
      <w:r w:rsidR="0089476B">
        <w:rPr>
          <w:rFonts w:ascii="Arial" w:hAnsi="Arial" w:cs="Arial"/>
        </w:rPr>
        <w:t>784.,62</w:t>
      </w:r>
      <w:r w:rsidRPr="00381359">
        <w:rPr>
          <w:rFonts w:ascii="Arial" w:hAnsi="Arial" w:cs="Arial"/>
        </w:rPr>
        <w:t xml:space="preserve"> eura, što je </w:t>
      </w:r>
      <w:r w:rsidR="0089476B">
        <w:rPr>
          <w:rFonts w:ascii="Arial" w:hAnsi="Arial" w:cs="Arial"/>
        </w:rPr>
        <w:t>49,3</w:t>
      </w:r>
      <w:r w:rsidRPr="00381359">
        <w:rPr>
          <w:rFonts w:ascii="Arial" w:hAnsi="Arial" w:cs="Arial"/>
        </w:rPr>
        <w:t xml:space="preserve">% godišnjeg plana. </w:t>
      </w:r>
    </w:p>
    <w:p w14:paraId="4F2314DB" w14:textId="77777777" w:rsidR="00D72D5B" w:rsidRPr="00BF52C7" w:rsidRDefault="00D72D5B" w:rsidP="00D72D5B">
      <w:pPr>
        <w:spacing w:after="120"/>
        <w:jc w:val="both"/>
        <w:rPr>
          <w:rFonts w:ascii="Arial" w:hAnsi="Arial" w:cs="Arial"/>
        </w:rPr>
      </w:pPr>
    </w:p>
    <w:p w14:paraId="0FE3E9EE" w14:textId="77777777" w:rsidR="00D72D5B" w:rsidRPr="00BF52C7" w:rsidRDefault="00D72D5B" w:rsidP="00D72D5B">
      <w:pPr>
        <w:pStyle w:val="Naslov2"/>
        <w:rPr>
          <w:rFonts w:ascii="Arial" w:hAnsi="Arial" w:cs="Arial"/>
          <w:sz w:val="24"/>
          <w:szCs w:val="24"/>
          <w:lang w:val="hr-HR"/>
        </w:rPr>
      </w:pPr>
      <w:bookmarkStart w:id="13" w:name="_Toc172785200"/>
      <w:r w:rsidRPr="00BF52C7">
        <w:rPr>
          <w:rFonts w:ascii="Arial" w:hAnsi="Arial" w:cs="Arial"/>
          <w:sz w:val="24"/>
          <w:szCs w:val="24"/>
          <w:lang w:val="hr-HR"/>
        </w:rPr>
        <w:t>3.8. RASHODI ZA NABAVU NEFINANCIJSKE IMOVINE</w:t>
      </w:r>
      <w:bookmarkEnd w:id="13"/>
    </w:p>
    <w:p w14:paraId="3592172B" w14:textId="77777777" w:rsidR="00D72D5B" w:rsidRDefault="00D72D5B" w:rsidP="00D72D5B">
      <w:pPr>
        <w:spacing w:after="120"/>
        <w:jc w:val="both"/>
        <w:rPr>
          <w:rFonts w:ascii="Arial" w:hAnsi="Arial" w:cs="Arial"/>
          <w:highlight w:val="yellow"/>
        </w:rPr>
      </w:pPr>
    </w:p>
    <w:p w14:paraId="408F9FF1" w14:textId="77777777" w:rsidR="00D72D5B" w:rsidRDefault="00D72D5B" w:rsidP="00D72D5B">
      <w:pPr>
        <w:suppressAutoHyphens/>
        <w:spacing w:line="360" w:lineRule="auto"/>
        <w:ind w:right="-459"/>
        <w:jc w:val="both"/>
        <w:rPr>
          <w:rFonts w:ascii="Arial" w:hAnsi="Arial" w:cs="Arial"/>
          <w:noProof/>
          <w:szCs w:val="20"/>
          <w:lang w:eastAsia="zh-CN"/>
        </w:rPr>
      </w:pPr>
      <w:r w:rsidRPr="00381359">
        <w:rPr>
          <w:rFonts w:ascii="Arial" w:hAnsi="Arial" w:cs="Arial"/>
          <w:noProof/>
          <w:szCs w:val="20"/>
          <w:lang w:eastAsia="zh-CN"/>
        </w:rPr>
        <w:t>Rashodi za nabavu nefinancijske imovine odnose se na:</w:t>
      </w:r>
    </w:p>
    <w:p w14:paraId="324AFC69" w14:textId="4E873498" w:rsidR="00875A30" w:rsidRPr="00381359" w:rsidRDefault="00875A30" w:rsidP="00D72D5B">
      <w:pPr>
        <w:suppressAutoHyphens/>
        <w:spacing w:line="360" w:lineRule="auto"/>
        <w:ind w:right="-459"/>
        <w:jc w:val="both"/>
        <w:rPr>
          <w:rFonts w:ascii="Arial" w:hAnsi="Arial" w:cs="Arial"/>
          <w:noProof/>
          <w:szCs w:val="20"/>
          <w:lang w:eastAsia="zh-CN"/>
        </w:rPr>
      </w:pPr>
      <w:r>
        <w:rPr>
          <w:rFonts w:ascii="Arial" w:hAnsi="Arial" w:cs="Arial"/>
          <w:noProof/>
          <w:szCs w:val="20"/>
          <w:lang w:eastAsia="zh-CN"/>
        </w:rPr>
        <w:t>-  nabavu računala i računalne opreme u iznosu od 16.859,28 eura,</w:t>
      </w:r>
    </w:p>
    <w:p w14:paraId="77A589FA" w14:textId="3E3FF84F" w:rsidR="00875A30" w:rsidRDefault="00D72D5B" w:rsidP="00D72D5B">
      <w:pPr>
        <w:suppressAutoHyphens/>
        <w:spacing w:line="360" w:lineRule="auto"/>
        <w:ind w:right="-459"/>
        <w:jc w:val="both"/>
        <w:rPr>
          <w:rFonts w:ascii="Arial" w:hAnsi="Arial" w:cs="Arial"/>
          <w:noProof/>
          <w:szCs w:val="20"/>
          <w:lang w:eastAsia="zh-CN"/>
        </w:rPr>
      </w:pPr>
      <w:r w:rsidRPr="00381359">
        <w:rPr>
          <w:rFonts w:ascii="Arial" w:hAnsi="Arial" w:cs="Arial"/>
          <w:noProof/>
          <w:szCs w:val="20"/>
          <w:lang w:eastAsia="zh-CN"/>
        </w:rPr>
        <w:t xml:space="preserve">- </w:t>
      </w:r>
      <w:r w:rsidR="00875A30">
        <w:rPr>
          <w:rFonts w:ascii="Arial" w:hAnsi="Arial" w:cs="Arial"/>
          <w:noProof/>
          <w:szCs w:val="20"/>
          <w:lang w:eastAsia="zh-CN"/>
        </w:rPr>
        <w:t xml:space="preserve"> </w:t>
      </w:r>
      <w:r w:rsidRPr="00381359">
        <w:rPr>
          <w:rFonts w:ascii="Arial" w:hAnsi="Arial" w:cs="Arial"/>
          <w:noProof/>
          <w:szCs w:val="20"/>
          <w:lang w:eastAsia="zh-CN"/>
        </w:rPr>
        <w:t xml:space="preserve">nabavu </w:t>
      </w:r>
      <w:r w:rsidR="00875A30">
        <w:rPr>
          <w:rFonts w:ascii="Arial" w:hAnsi="Arial" w:cs="Arial"/>
          <w:noProof/>
          <w:szCs w:val="20"/>
          <w:lang w:eastAsia="zh-CN"/>
        </w:rPr>
        <w:t>namještaja</w:t>
      </w:r>
      <w:r w:rsidR="00F87756">
        <w:rPr>
          <w:rFonts w:ascii="Arial" w:hAnsi="Arial" w:cs="Arial"/>
          <w:noProof/>
          <w:szCs w:val="20"/>
          <w:lang w:eastAsia="zh-CN"/>
        </w:rPr>
        <w:t xml:space="preserve"> </w:t>
      </w:r>
      <w:r w:rsidR="00875A30">
        <w:rPr>
          <w:rFonts w:ascii="Arial" w:hAnsi="Arial" w:cs="Arial"/>
          <w:noProof/>
          <w:szCs w:val="20"/>
          <w:lang w:eastAsia="zh-CN"/>
        </w:rPr>
        <w:t>za ordinacije u iznosu od 11.340,66 eura,</w:t>
      </w:r>
    </w:p>
    <w:p w14:paraId="1A9F610A" w14:textId="5E99FFA7" w:rsidR="00D72D5B" w:rsidRPr="00381359" w:rsidRDefault="00875A30" w:rsidP="00D72D5B">
      <w:pPr>
        <w:suppressAutoHyphens/>
        <w:spacing w:line="360" w:lineRule="auto"/>
        <w:ind w:right="-459"/>
        <w:jc w:val="both"/>
        <w:rPr>
          <w:rFonts w:ascii="Arial" w:hAnsi="Arial" w:cs="Arial"/>
          <w:noProof/>
          <w:szCs w:val="20"/>
          <w:lang w:eastAsia="zh-CN"/>
        </w:rPr>
      </w:pPr>
      <w:r>
        <w:rPr>
          <w:rFonts w:ascii="Arial" w:hAnsi="Arial" w:cs="Arial"/>
          <w:noProof/>
          <w:szCs w:val="20"/>
          <w:lang w:eastAsia="zh-CN"/>
        </w:rPr>
        <w:t>-  nabavu medicin</w:t>
      </w:r>
      <w:r w:rsidR="007549FC">
        <w:rPr>
          <w:rFonts w:ascii="Arial" w:hAnsi="Arial" w:cs="Arial"/>
          <w:noProof/>
          <w:szCs w:val="20"/>
          <w:lang w:eastAsia="zh-CN"/>
        </w:rPr>
        <w:t>s</w:t>
      </w:r>
      <w:r>
        <w:rPr>
          <w:rFonts w:ascii="Arial" w:hAnsi="Arial" w:cs="Arial"/>
          <w:noProof/>
          <w:szCs w:val="20"/>
          <w:lang w:eastAsia="zh-CN"/>
        </w:rPr>
        <w:t xml:space="preserve">ke </w:t>
      </w:r>
      <w:r w:rsidR="00D72D5B" w:rsidRPr="00381359">
        <w:rPr>
          <w:rFonts w:ascii="Arial" w:hAnsi="Arial" w:cs="Arial"/>
          <w:noProof/>
          <w:szCs w:val="20"/>
          <w:lang w:eastAsia="zh-CN"/>
        </w:rPr>
        <w:t xml:space="preserve">opreme u iznosu od </w:t>
      </w:r>
      <w:r>
        <w:rPr>
          <w:rFonts w:ascii="Arial" w:hAnsi="Arial" w:cs="Arial"/>
          <w:noProof/>
          <w:szCs w:val="20"/>
          <w:lang w:eastAsia="zh-CN"/>
        </w:rPr>
        <w:t>5.269,42</w:t>
      </w:r>
      <w:r w:rsidR="00D72D5B" w:rsidRPr="00381359">
        <w:rPr>
          <w:rFonts w:ascii="Arial" w:hAnsi="Arial" w:cs="Arial"/>
          <w:noProof/>
          <w:szCs w:val="20"/>
          <w:lang w:eastAsia="zh-CN"/>
        </w:rPr>
        <w:t xml:space="preserve"> eura</w:t>
      </w:r>
      <w:r>
        <w:rPr>
          <w:rFonts w:ascii="Arial" w:hAnsi="Arial" w:cs="Arial"/>
          <w:noProof/>
          <w:szCs w:val="20"/>
          <w:lang w:eastAsia="zh-CN"/>
        </w:rPr>
        <w:t>,</w:t>
      </w:r>
      <w:r w:rsidR="00D72D5B" w:rsidRPr="00381359">
        <w:rPr>
          <w:rFonts w:ascii="Arial" w:hAnsi="Arial" w:cs="Arial"/>
          <w:noProof/>
          <w:szCs w:val="20"/>
          <w:lang w:eastAsia="zh-CN"/>
        </w:rPr>
        <w:t xml:space="preserve"> </w:t>
      </w:r>
    </w:p>
    <w:p w14:paraId="6F5A6A43" w14:textId="01F6ABC4" w:rsidR="00D72D5B" w:rsidRPr="00381359" w:rsidRDefault="00D72D5B" w:rsidP="00D72D5B">
      <w:pPr>
        <w:suppressAutoHyphens/>
        <w:spacing w:line="360" w:lineRule="auto"/>
        <w:ind w:right="-459"/>
        <w:jc w:val="both"/>
        <w:rPr>
          <w:rFonts w:ascii="Arial" w:hAnsi="Arial" w:cs="Arial"/>
          <w:noProof/>
          <w:szCs w:val="20"/>
          <w:lang w:eastAsia="zh-CN"/>
        </w:rPr>
      </w:pPr>
      <w:r w:rsidRPr="00381359">
        <w:rPr>
          <w:rFonts w:ascii="Arial" w:hAnsi="Arial" w:cs="Arial"/>
          <w:noProof/>
          <w:szCs w:val="20"/>
          <w:lang w:eastAsia="zh-CN"/>
        </w:rPr>
        <w:t xml:space="preserve">-  nabavu </w:t>
      </w:r>
      <w:r w:rsidR="00875A30">
        <w:rPr>
          <w:rFonts w:ascii="Arial" w:hAnsi="Arial" w:cs="Arial"/>
          <w:noProof/>
          <w:szCs w:val="20"/>
          <w:lang w:eastAsia="zh-CN"/>
        </w:rPr>
        <w:t>tri</w:t>
      </w:r>
      <w:r w:rsidRPr="00381359">
        <w:rPr>
          <w:rFonts w:ascii="Arial" w:hAnsi="Arial" w:cs="Arial"/>
          <w:noProof/>
          <w:szCs w:val="20"/>
          <w:lang w:eastAsia="zh-CN"/>
        </w:rPr>
        <w:t xml:space="preserve"> osobna vozila za patronažu u iznosu od </w:t>
      </w:r>
      <w:r w:rsidR="00875A30">
        <w:rPr>
          <w:rFonts w:ascii="Arial" w:hAnsi="Arial" w:cs="Arial"/>
          <w:noProof/>
          <w:szCs w:val="20"/>
          <w:lang w:eastAsia="zh-CN"/>
        </w:rPr>
        <w:t>45.324,69 eura,</w:t>
      </w:r>
    </w:p>
    <w:p w14:paraId="7AAB7DEE" w14:textId="717D0F1C" w:rsidR="00D72D5B" w:rsidRPr="00381359" w:rsidRDefault="00D72D5B" w:rsidP="00D72D5B">
      <w:pPr>
        <w:suppressAutoHyphens/>
        <w:spacing w:line="360" w:lineRule="auto"/>
        <w:ind w:right="-459"/>
        <w:jc w:val="both"/>
        <w:rPr>
          <w:rFonts w:ascii="Arial" w:hAnsi="Arial" w:cs="Arial"/>
          <w:noProof/>
          <w:szCs w:val="20"/>
          <w:lang w:eastAsia="zh-CN"/>
        </w:rPr>
      </w:pPr>
      <w:r w:rsidRPr="00381359">
        <w:rPr>
          <w:rFonts w:ascii="Arial" w:hAnsi="Arial" w:cs="Arial"/>
          <w:noProof/>
          <w:szCs w:val="20"/>
          <w:lang w:eastAsia="zh-CN"/>
        </w:rPr>
        <w:t xml:space="preserve">-  ulaganja u računalne programe u iznosu od </w:t>
      </w:r>
      <w:r w:rsidR="00875A30">
        <w:rPr>
          <w:rFonts w:ascii="Arial" w:hAnsi="Arial" w:cs="Arial"/>
          <w:noProof/>
          <w:szCs w:val="20"/>
          <w:lang w:eastAsia="zh-CN"/>
        </w:rPr>
        <w:t>1.183,75</w:t>
      </w:r>
      <w:r w:rsidRPr="00381359">
        <w:rPr>
          <w:rFonts w:ascii="Arial" w:hAnsi="Arial" w:cs="Arial"/>
          <w:noProof/>
          <w:szCs w:val="20"/>
          <w:lang w:eastAsia="zh-CN"/>
        </w:rPr>
        <w:t xml:space="preserve"> eura</w:t>
      </w:r>
      <w:r w:rsidR="00875A30">
        <w:rPr>
          <w:rFonts w:ascii="Arial" w:hAnsi="Arial" w:cs="Arial"/>
          <w:noProof/>
          <w:szCs w:val="20"/>
          <w:lang w:eastAsia="zh-CN"/>
        </w:rPr>
        <w:t>,</w:t>
      </w:r>
    </w:p>
    <w:p w14:paraId="5538A6E4" w14:textId="77777777" w:rsidR="00875A30" w:rsidRDefault="00D72D5B" w:rsidP="00D72D5B">
      <w:pPr>
        <w:suppressAutoHyphens/>
        <w:spacing w:line="360" w:lineRule="auto"/>
        <w:ind w:right="-459"/>
        <w:jc w:val="both"/>
        <w:rPr>
          <w:rFonts w:ascii="Arial" w:hAnsi="Arial" w:cs="Arial"/>
          <w:noProof/>
          <w:szCs w:val="20"/>
          <w:lang w:eastAsia="zh-CN"/>
        </w:rPr>
      </w:pPr>
      <w:r w:rsidRPr="00381359">
        <w:rPr>
          <w:rFonts w:ascii="Arial" w:hAnsi="Arial" w:cs="Arial"/>
          <w:noProof/>
          <w:szCs w:val="20"/>
          <w:lang w:eastAsia="zh-CN"/>
        </w:rPr>
        <w:t xml:space="preserve">- </w:t>
      </w:r>
      <w:r w:rsidR="00875A30">
        <w:rPr>
          <w:rFonts w:ascii="Arial" w:hAnsi="Arial" w:cs="Arial"/>
          <w:noProof/>
          <w:szCs w:val="20"/>
          <w:lang w:eastAsia="zh-CN"/>
        </w:rPr>
        <w:t xml:space="preserve">nabavu ostale opreme u </w:t>
      </w:r>
      <w:r w:rsidRPr="00381359">
        <w:rPr>
          <w:rFonts w:ascii="Arial" w:hAnsi="Arial" w:cs="Arial"/>
          <w:noProof/>
          <w:szCs w:val="20"/>
          <w:lang w:eastAsia="zh-CN"/>
        </w:rPr>
        <w:t xml:space="preserve">iznosu od </w:t>
      </w:r>
      <w:r w:rsidR="00875A30">
        <w:rPr>
          <w:rFonts w:ascii="Arial" w:hAnsi="Arial" w:cs="Arial"/>
          <w:noProof/>
          <w:szCs w:val="20"/>
          <w:lang w:eastAsia="zh-CN"/>
        </w:rPr>
        <w:t>3.332,25</w:t>
      </w:r>
      <w:r w:rsidRPr="00381359">
        <w:rPr>
          <w:rFonts w:ascii="Arial" w:hAnsi="Arial" w:cs="Arial"/>
          <w:noProof/>
          <w:szCs w:val="20"/>
          <w:lang w:eastAsia="zh-CN"/>
        </w:rPr>
        <w:t xml:space="preserve"> eura</w:t>
      </w:r>
      <w:r w:rsidR="00875A30">
        <w:rPr>
          <w:rFonts w:ascii="Arial" w:hAnsi="Arial" w:cs="Arial"/>
          <w:noProof/>
          <w:szCs w:val="20"/>
          <w:lang w:eastAsia="zh-CN"/>
        </w:rPr>
        <w:t>.</w:t>
      </w:r>
    </w:p>
    <w:p w14:paraId="605ADC68" w14:textId="59A8726F" w:rsidR="00D72D5B" w:rsidRDefault="00D72D5B" w:rsidP="00D72D5B">
      <w:pPr>
        <w:suppressAutoHyphens/>
        <w:spacing w:line="360" w:lineRule="auto"/>
        <w:ind w:right="-459"/>
        <w:jc w:val="both"/>
        <w:rPr>
          <w:rFonts w:ascii="Arial" w:hAnsi="Arial" w:cs="Arial"/>
          <w:noProof/>
          <w:szCs w:val="20"/>
          <w:lang w:eastAsia="zh-CN"/>
        </w:rPr>
      </w:pPr>
      <w:r w:rsidRPr="00381359">
        <w:rPr>
          <w:rFonts w:ascii="Arial" w:hAnsi="Arial" w:cs="Arial"/>
          <w:noProof/>
          <w:szCs w:val="20"/>
          <w:lang w:eastAsia="zh-CN"/>
        </w:rPr>
        <w:t xml:space="preserve">U odnosu na </w:t>
      </w:r>
      <w:r w:rsidR="00875A30">
        <w:rPr>
          <w:rFonts w:ascii="Arial" w:hAnsi="Arial" w:cs="Arial"/>
          <w:noProof/>
          <w:szCs w:val="20"/>
          <w:lang w:eastAsia="zh-CN"/>
        </w:rPr>
        <w:t xml:space="preserve">isto razdoblje </w:t>
      </w:r>
      <w:r w:rsidRPr="00381359">
        <w:rPr>
          <w:rFonts w:ascii="Arial" w:hAnsi="Arial" w:cs="Arial"/>
          <w:noProof/>
          <w:szCs w:val="20"/>
          <w:lang w:eastAsia="zh-CN"/>
        </w:rPr>
        <w:t>proš</w:t>
      </w:r>
      <w:r w:rsidR="00875A30">
        <w:rPr>
          <w:rFonts w:ascii="Arial" w:hAnsi="Arial" w:cs="Arial"/>
          <w:noProof/>
          <w:szCs w:val="20"/>
          <w:lang w:eastAsia="zh-CN"/>
        </w:rPr>
        <w:t>le</w:t>
      </w:r>
      <w:r w:rsidRPr="00381359">
        <w:rPr>
          <w:rFonts w:ascii="Arial" w:hAnsi="Arial" w:cs="Arial"/>
          <w:noProof/>
          <w:szCs w:val="20"/>
          <w:lang w:eastAsia="zh-CN"/>
        </w:rPr>
        <w:t xml:space="preserve"> godin</w:t>
      </w:r>
      <w:r w:rsidR="00875A30">
        <w:rPr>
          <w:rFonts w:ascii="Arial" w:hAnsi="Arial" w:cs="Arial"/>
          <w:noProof/>
          <w:szCs w:val="20"/>
          <w:lang w:eastAsia="zh-CN"/>
        </w:rPr>
        <w:t>e</w:t>
      </w:r>
      <w:r w:rsidRPr="00381359">
        <w:rPr>
          <w:rFonts w:ascii="Arial" w:hAnsi="Arial" w:cs="Arial"/>
          <w:noProof/>
          <w:szCs w:val="20"/>
          <w:lang w:eastAsia="zh-CN"/>
        </w:rPr>
        <w:t xml:space="preserve"> rashodi za nefinancijsku imovinu </w:t>
      </w:r>
      <w:r w:rsidR="00875A30">
        <w:rPr>
          <w:rFonts w:ascii="Arial" w:hAnsi="Arial" w:cs="Arial"/>
          <w:noProof/>
          <w:szCs w:val="20"/>
          <w:lang w:eastAsia="zh-CN"/>
        </w:rPr>
        <w:t>manji su za 50,0</w:t>
      </w:r>
      <w:r w:rsidRPr="00381359">
        <w:rPr>
          <w:rFonts w:ascii="Arial" w:hAnsi="Arial" w:cs="Arial"/>
          <w:noProof/>
          <w:szCs w:val="20"/>
          <w:lang w:eastAsia="zh-CN"/>
        </w:rPr>
        <w:t>%</w:t>
      </w:r>
      <w:r w:rsidR="001B2419">
        <w:rPr>
          <w:rFonts w:ascii="Arial" w:hAnsi="Arial" w:cs="Arial"/>
          <w:noProof/>
          <w:szCs w:val="20"/>
          <w:lang w:eastAsia="zh-CN"/>
        </w:rPr>
        <w:t>, odnosno iznose 45,5% ukupnog godišnjeg plana.</w:t>
      </w:r>
    </w:p>
    <w:p w14:paraId="6D225283" w14:textId="34FC30C0" w:rsidR="001B2419" w:rsidRPr="00875A30" w:rsidRDefault="001B2419" w:rsidP="001B2419">
      <w:pPr>
        <w:suppressAutoHyphens/>
        <w:autoSpaceDE w:val="0"/>
        <w:spacing w:line="360" w:lineRule="auto"/>
        <w:ind w:right="-828"/>
        <w:rPr>
          <w:rFonts w:ascii="Arial" w:hAnsi="Arial" w:cs="Arial"/>
          <w:lang w:val="en-AU" w:eastAsia="zh-CN"/>
        </w:rPr>
      </w:pPr>
      <w:r w:rsidRPr="00875A30">
        <w:rPr>
          <w:rFonts w:ascii="Arial" w:hAnsi="Arial" w:cs="Arial"/>
          <w:lang w:eastAsia="zh-CN"/>
        </w:rPr>
        <w:t>Izvori</w:t>
      </w:r>
      <w:r w:rsidRPr="00875A30">
        <w:rPr>
          <w:rFonts w:ascii="Arial" w:hAnsi="Arial" w:cs="Arial"/>
          <w:lang w:val="en-AU" w:eastAsia="zh-CN"/>
        </w:rPr>
        <w:t xml:space="preserve"> </w:t>
      </w:r>
      <w:proofErr w:type="spellStart"/>
      <w:r w:rsidRPr="00875A30">
        <w:rPr>
          <w:rFonts w:ascii="Arial" w:hAnsi="Arial" w:cs="Arial"/>
          <w:lang w:val="en-AU" w:eastAsia="zh-CN"/>
        </w:rPr>
        <w:t>financiranja</w:t>
      </w:r>
      <w:proofErr w:type="spellEnd"/>
      <w:r w:rsidRPr="00875A30">
        <w:rPr>
          <w:rFonts w:ascii="Arial" w:hAnsi="Arial" w:cs="Arial"/>
          <w:lang w:val="en-AU" w:eastAsia="zh-CN"/>
        </w:rPr>
        <w:t xml:space="preserve"> </w:t>
      </w:r>
      <w:proofErr w:type="spellStart"/>
      <w:r w:rsidRPr="00875A30">
        <w:rPr>
          <w:rFonts w:ascii="Arial" w:hAnsi="Arial" w:cs="Arial"/>
          <w:lang w:val="en-AU" w:eastAsia="zh-CN"/>
        </w:rPr>
        <w:t>navedenih</w:t>
      </w:r>
      <w:proofErr w:type="spellEnd"/>
      <w:r w:rsidRPr="00875A30">
        <w:rPr>
          <w:rFonts w:ascii="Arial" w:hAnsi="Arial" w:cs="Arial"/>
          <w:lang w:val="en-AU" w:eastAsia="zh-CN"/>
        </w:rPr>
        <w:t xml:space="preserve">  </w:t>
      </w:r>
      <w:proofErr w:type="spellStart"/>
      <w:r w:rsidRPr="00875A30">
        <w:rPr>
          <w:rFonts w:ascii="Arial" w:hAnsi="Arial" w:cs="Arial"/>
          <w:lang w:val="en-AU" w:eastAsia="zh-CN"/>
        </w:rPr>
        <w:t>ulaganja</w:t>
      </w:r>
      <w:proofErr w:type="spellEnd"/>
      <w:r w:rsidRPr="00875A30">
        <w:rPr>
          <w:rFonts w:ascii="Arial" w:hAnsi="Arial" w:cs="Arial"/>
          <w:lang w:val="en-AU" w:eastAsia="zh-CN"/>
        </w:rPr>
        <w:t xml:space="preserve"> </w:t>
      </w:r>
      <w:proofErr w:type="spellStart"/>
      <w:r w:rsidRPr="00875A30">
        <w:rPr>
          <w:rFonts w:ascii="Arial" w:hAnsi="Arial" w:cs="Arial"/>
          <w:lang w:val="en-AU" w:eastAsia="zh-CN"/>
        </w:rPr>
        <w:t>su</w:t>
      </w:r>
      <w:proofErr w:type="spellEnd"/>
      <w:r>
        <w:rPr>
          <w:rFonts w:ascii="Arial" w:hAnsi="Arial" w:cs="Arial"/>
          <w:lang w:val="en-AU" w:eastAsia="zh-CN"/>
        </w:rPr>
        <w:t>:</w:t>
      </w:r>
      <w:r w:rsidRPr="00875A30">
        <w:rPr>
          <w:rFonts w:ascii="Arial" w:hAnsi="Arial" w:cs="Arial"/>
          <w:lang w:val="en-AU" w:eastAsia="zh-CN"/>
        </w:rPr>
        <w:t xml:space="preserve">  </w:t>
      </w:r>
      <w:proofErr w:type="spellStart"/>
      <w:r w:rsidRPr="00875A30">
        <w:rPr>
          <w:rFonts w:ascii="Arial" w:hAnsi="Arial" w:cs="Arial"/>
          <w:lang w:val="en-AU" w:eastAsia="zh-CN"/>
        </w:rPr>
        <w:t>Županijski</w:t>
      </w:r>
      <w:proofErr w:type="spellEnd"/>
      <w:r w:rsidRPr="00875A30">
        <w:rPr>
          <w:rFonts w:ascii="Arial" w:hAnsi="Arial" w:cs="Arial"/>
          <w:lang w:val="en-AU" w:eastAsia="zh-CN"/>
        </w:rPr>
        <w:t xml:space="preserve"> </w:t>
      </w:r>
      <w:proofErr w:type="spellStart"/>
      <w:r w:rsidRPr="00875A30">
        <w:rPr>
          <w:rFonts w:ascii="Arial" w:hAnsi="Arial" w:cs="Arial"/>
          <w:lang w:val="en-AU" w:eastAsia="zh-CN"/>
        </w:rPr>
        <w:t>proračun-decentralizacija</w:t>
      </w:r>
      <w:proofErr w:type="spellEnd"/>
      <w:r w:rsidRPr="00875A30">
        <w:rPr>
          <w:rFonts w:ascii="Arial" w:hAnsi="Arial" w:cs="Arial"/>
          <w:lang w:val="en-AU" w:eastAsia="zh-CN"/>
        </w:rPr>
        <w:t xml:space="preserve"> (59.000,00 </w:t>
      </w:r>
      <w:proofErr w:type="spellStart"/>
      <w:r w:rsidRPr="00875A30">
        <w:rPr>
          <w:rFonts w:ascii="Arial" w:hAnsi="Arial" w:cs="Arial"/>
          <w:lang w:val="en-AU" w:eastAsia="zh-CN"/>
        </w:rPr>
        <w:t>eura</w:t>
      </w:r>
      <w:proofErr w:type="spellEnd"/>
      <w:r w:rsidRPr="00875A30">
        <w:rPr>
          <w:rFonts w:ascii="Arial" w:hAnsi="Arial" w:cs="Arial"/>
          <w:lang w:val="en-AU" w:eastAsia="zh-CN"/>
        </w:rPr>
        <w:t>)</w:t>
      </w:r>
      <w:r w:rsidRPr="00875A30">
        <w:rPr>
          <w:rFonts w:ascii="Arial" w:hAnsi="Arial" w:cs="Arial"/>
          <w:lang w:val="en-AU" w:eastAsia="hr-HR"/>
        </w:rPr>
        <w:t xml:space="preserve">, </w:t>
      </w:r>
      <w:proofErr w:type="spellStart"/>
      <w:r w:rsidRPr="00875A30">
        <w:rPr>
          <w:rFonts w:ascii="Arial" w:hAnsi="Arial" w:cs="Arial"/>
          <w:lang w:val="en-AU" w:eastAsia="hr-HR"/>
        </w:rPr>
        <w:t>te</w:t>
      </w:r>
      <w:proofErr w:type="spellEnd"/>
      <w:r w:rsidRPr="00875A30">
        <w:rPr>
          <w:rFonts w:ascii="Arial" w:hAnsi="Arial" w:cs="Arial"/>
          <w:lang w:val="en-AU" w:eastAsia="hr-HR"/>
        </w:rPr>
        <w:t xml:space="preserve"> </w:t>
      </w:r>
      <w:proofErr w:type="spellStart"/>
      <w:r w:rsidRPr="00875A30">
        <w:rPr>
          <w:rFonts w:ascii="Arial" w:hAnsi="Arial" w:cs="Arial"/>
          <w:lang w:val="en-AU" w:eastAsia="zh-CN"/>
        </w:rPr>
        <w:t>vlastiti</w:t>
      </w:r>
      <w:proofErr w:type="spellEnd"/>
      <w:r w:rsidRPr="00875A30">
        <w:rPr>
          <w:rFonts w:ascii="Arial" w:hAnsi="Arial" w:cs="Arial"/>
          <w:lang w:val="en-AU" w:eastAsia="zh-CN"/>
        </w:rPr>
        <w:t xml:space="preserve"> </w:t>
      </w:r>
      <w:proofErr w:type="spellStart"/>
      <w:r w:rsidRPr="00875A30">
        <w:rPr>
          <w:rFonts w:ascii="Arial" w:hAnsi="Arial" w:cs="Arial"/>
          <w:lang w:val="en-AU" w:eastAsia="zh-CN"/>
        </w:rPr>
        <w:t>prihodi</w:t>
      </w:r>
      <w:proofErr w:type="spellEnd"/>
      <w:r w:rsidRPr="00875A30">
        <w:rPr>
          <w:rFonts w:ascii="Arial" w:hAnsi="Arial" w:cs="Arial"/>
          <w:lang w:val="en-AU" w:eastAsia="zh-CN"/>
        </w:rPr>
        <w:t xml:space="preserve"> (24.310,05 </w:t>
      </w:r>
      <w:proofErr w:type="spellStart"/>
      <w:r w:rsidRPr="00875A30">
        <w:rPr>
          <w:rFonts w:ascii="Arial" w:hAnsi="Arial" w:cs="Arial"/>
          <w:lang w:val="en-AU" w:eastAsia="zh-CN"/>
        </w:rPr>
        <w:t>eura</w:t>
      </w:r>
      <w:proofErr w:type="spellEnd"/>
      <w:r w:rsidRPr="00875A30">
        <w:rPr>
          <w:rFonts w:ascii="Arial" w:hAnsi="Arial" w:cs="Arial"/>
          <w:lang w:val="en-AU" w:eastAsia="zh-CN"/>
        </w:rPr>
        <w:t xml:space="preserve">). </w:t>
      </w:r>
    </w:p>
    <w:p w14:paraId="5C9C241D" w14:textId="77777777" w:rsidR="001B2419" w:rsidRPr="00381359" w:rsidRDefault="001B2419" w:rsidP="00D72D5B">
      <w:pPr>
        <w:suppressAutoHyphens/>
        <w:spacing w:line="360" w:lineRule="auto"/>
        <w:ind w:right="-459"/>
        <w:jc w:val="both"/>
        <w:rPr>
          <w:rFonts w:ascii="Arial" w:hAnsi="Arial" w:cs="Arial"/>
          <w:noProof/>
          <w:szCs w:val="20"/>
          <w:lang w:eastAsia="zh-CN"/>
        </w:rPr>
      </w:pPr>
    </w:p>
    <w:p w14:paraId="18C65AA6" w14:textId="77777777" w:rsidR="00D72D5B" w:rsidRPr="00BF52C7" w:rsidRDefault="00D72D5B" w:rsidP="00D72D5B">
      <w:pPr>
        <w:pStyle w:val="Naslov2"/>
        <w:rPr>
          <w:rFonts w:ascii="Arial" w:hAnsi="Arial" w:cs="Arial"/>
          <w:color w:val="auto"/>
          <w:sz w:val="24"/>
          <w:szCs w:val="24"/>
        </w:rPr>
      </w:pPr>
      <w:bookmarkStart w:id="14" w:name="_Toc172785201"/>
      <w:r w:rsidRPr="00BF52C7">
        <w:rPr>
          <w:rFonts w:ascii="Arial" w:hAnsi="Arial" w:cs="Arial"/>
          <w:color w:val="auto"/>
          <w:sz w:val="24"/>
          <w:szCs w:val="24"/>
        </w:rPr>
        <w:t>3.9. IZDACI ZA FINANCIJSKU IMOVINU I OTPLATE ZAJMOVA</w:t>
      </w:r>
      <w:bookmarkEnd w:id="14"/>
    </w:p>
    <w:p w14:paraId="0C90561E" w14:textId="77777777" w:rsidR="00D72D5B" w:rsidRDefault="00D72D5B" w:rsidP="00D72D5B">
      <w:pPr>
        <w:spacing w:after="120"/>
        <w:jc w:val="both"/>
        <w:rPr>
          <w:rFonts w:ascii="Arial" w:hAnsi="Arial" w:cs="Arial"/>
          <w:bCs/>
          <w:highlight w:val="yellow"/>
        </w:rPr>
      </w:pPr>
      <w:r w:rsidRPr="00686282">
        <w:rPr>
          <w:rFonts w:ascii="Arial" w:hAnsi="Arial" w:cs="Arial"/>
          <w:bCs/>
          <w:highlight w:val="yellow"/>
        </w:rPr>
        <w:t xml:space="preserve"> </w:t>
      </w:r>
    </w:p>
    <w:p w14:paraId="18447F23" w14:textId="5A964B1E" w:rsidR="00D72D5B" w:rsidRPr="00F87756" w:rsidRDefault="00D72D5B" w:rsidP="00D72D5B">
      <w:pPr>
        <w:spacing w:line="360" w:lineRule="auto"/>
        <w:ind w:right="-341"/>
        <w:jc w:val="both"/>
        <w:rPr>
          <w:rFonts w:ascii="Arial" w:hAnsi="Arial" w:cs="Arial"/>
          <w:lang w:eastAsia="hr-HR"/>
        </w:rPr>
      </w:pPr>
      <w:r w:rsidRPr="00FD1B21">
        <w:rPr>
          <w:rFonts w:ascii="Arial" w:hAnsi="Arial" w:cs="Arial"/>
          <w:lang w:eastAsia="hr-HR"/>
        </w:rPr>
        <w:t xml:space="preserve">Izdaci za financijsku imovinu iznose </w:t>
      </w:r>
      <w:r w:rsidR="001B2419">
        <w:rPr>
          <w:rFonts w:ascii="Arial" w:hAnsi="Arial" w:cs="Arial"/>
          <w:lang w:eastAsia="hr-HR"/>
        </w:rPr>
        <w:t>17</w:t>
      </w:r>
      <w:r w:rsidRPr="00FD1B21">
        <w:rPr>
          <w:rFonts w:ascii="Arial" w:hAnsi="Arial" w:cs="Arial"/>
          <w:lang w:eastAsia="hr-HR"/>
        </w:rPr>
        <w:t>.</w:t>
      </w:r>
      <w:r w:rsidR="001B2419">
        <w:rPr>
          <w:rFonts w:ascii="Arial" w:hAnsi="Arial" w:cs="Arial"/>
          <w:lang w:eastAsia="hr-HR"/>
        </w:rPr>
        <w:t>253,96</w:t>
      </w:r>
      <w:r w:rsidRPr="00FD1B21">
        <w:rPr>
          <w:rFonts w:ascii="Arial" w:hAnsi="Arial" w:cs="Arial"/>
          <w:lang w:eastAsia="hr-HR"/>
        </w:rPr>
        <w:t xml:space="preserve"> eura, a odnose se na otplatu po </w:t>
      </w:r>
      <w:r w:rsidRPr="00F87756">
        <w:rPr>
          <w:rFonts w:ascii="Arial" w:hAnsi="Arial" w:cs="Arial"/>
          <w:lang w:eastAsia="hr-HR"/>
        </w:rPr>
        <w:t xml:space="preserve">dugoročnom kreditu. </w:t>
      </w:r>
      <w:bookmarkStart w:id="15" w:name="_Hlk162442192"/>
      <w:r w:rsidRPr="00F87756">
        <w:rPr>
          <w:rFonts w:ascii="Arial" w:hAnsi="Arial" w:cs="Arial"/>
          <w:lang w:eastAsia="hr-HR"/>
        </w:rPr>
        <w:t>Zagrebačke banke d.d. za energetsku obnovu objekata u Lepoglavi, Novom Marofu i Varaždinskim Toplicama.</w:t>
      </w:r>
      <w:bookmarkEnd w:id="15"/>
    </w:p>
    <w:p w14:paraId="16CE2B13" w14:textId="77777777" w:rsidR="00D72D5B" w:rsidRPr="00F87756" w:rsidRDefault="00D72D5B" w:rsidP="00D72D5B">
      <w:pPr>
        <w:jc w:val="both"/>
        <w:rPr>
          <w:rFonts w:ascii="Arial" w:hAnsi="Arial" w:cs="Arial"/>
          <w:bCs/>
          <w:highlight w:val="yellow"/>
        </w:rPr>
      </w:pPr>
    </w:p>
    <w:p w14:paraId="110C05B2" w14:textId="7E5D3DE0" w:rsidR="002E4BAF" w:rsidRDefault="002E4BAF" w:rsidP="00D72D5B">
      <w:pPr>
        <w:jc w:val="both"/>
        <w:rPr>
          <w:rFonts w:ascii="Arial" w:hAnsi="Arial" w:cs="Arial"/>
          <w:bCs/>
          <w:highlight w:val="yellow"/>
        </w:rPr>
      </w:pPr>
    </w:p>
    <w:p w14:paraId="4DA1652C" w14:textId="77777777" w:rsidR="002E4BAF" w:rsidRDefault="002E4BAF" w:rsidP="00D72D5B">
      <w:pPr>
        <w:jc w:val="both"/>
        <w:rPr>
          <w:rFonts w:ascii="Arial" w:hAnsi="Arial" w:cs="Arial"/>
          <w:bCs/>
          <w:highlight w:val="yellow"/>
        </w:rPr>
      </w:pPr>
    </w:p>
    <w:p w14:paraId="4B45DF13" w14:textId="77777777" w:rsidR="002E4BAF" w:rsidRDefault="002E4BAF" w:rsidP="00D72D5B">
      <w:pPr>
        <w:jc w:val="both"/>
        <w:rPr>
          <w:rFonts w:ascii="Arial" w:hAnsi="Arial" w:cs="Arial"/>
          <w:bCs/>
          <w:highlight w:val="yellow"/>
        </w:rPr>
      </w:pPr>
    </w:p>
    <w:p w14:paraId="52BA035C" w14:textId="77777777" w:rsidR="002E4BAF" w:rsidRDefault="002E4BAF" w:rsidP="00D72D5B">
      <w:pPr>
        <w:jc w:val="both"/>
        <w:rPr>
          <w:rFonts w:ascii="Arial" w:hAnsi="Arial" w:cs="Arial"/>
          <w:bCs/>
          <w:highlight w:val="yellow"/>
        </w:rPr>
      </w:pPr>
    </w:p>
    <w:p w14:paraId="70F0E334" w14:textId="77777777" w:rsidR="002E4BAF" w:rsidRDefault="002E4BAF" w:rsidP="00D72D5B">
      <w:pPr>
        <w:jc w:val="both"/>
        <w:rPr>
          <w:rFonts w:ascii="Arial" w:hAnsi="Arial" w:cs="Arial"/>
          <w:bCs/>
          <w:highlight w:val="yellow"/>
        </w:rPr>
      </w:pPr>
    </w:p>
    <w:p w14:paraId="6634EA06" w14:textId="77777777" w:rsidR="002E4BAF" w:rsidRDefault="002E4BAF" w:rsidP="00D72D5B">
      <w:pPr>
        <w:jc w:val="both"/>
        <w:rPr>
          <w:rFonts w:ascii="Arial" w:hAnsi="Arial" w:cs="Arial"/>
          <w:bCs/>
          <w:highlight w:val="yellow"/>
        </w:rPr>
      </w:pPr>
    </w:p>
    <w:p w14:paraId="61471B10" w14:textId="77777777" w:rsidR="002E4BAF" w:rsidRDefault="002E4BAF" w:rsidP="00D72D5B">
      <w:pPr>
        <w:jc w:val="both"/>
        <w:rPr>
          <w:rFonts w:ascii="Arial" w:hAnsi="Arial" w:cs="Arial"/>
          <w:bCs/>
          <w:highlight w:val="yellow"/>
        </w:rPr>
      </w:pPr>
    </w:p>
    <w:p w14:paraId="7028256B" w14:textId="77777777" w:rsidR="00D72D5B" w:rsidRPr="00BF52C7" w:rsidRDefault="00D72D5B" w:rsidP="00D72D5B">
      <w:pPr>
        <w:rPr>
          <w:lang w:eastAsia="hr-HR"/>
        </w:rPr>
      </w:pPr>
    </w:p>
    <w:p w14:paraId="4F3068D7" w14:textId="77777777" w:rsidR="00D72D5B" w:rsidRPr="00BF52C7" w:rsidRDefault="00D72D5B" w:rsidP="00D72D5B">
      <w:pPr>
        <w:pStyle w:val="Naslov1"/>
        <w:numPr>
          <w:ilvl w:val="0"/>
          <w:numId w:val="1"/>
        </w:numPr>
        <w:ind w:left="709" w:hanging="709"/>
        <w:rPr>
          <w:rFonts w:ascii="Arial" w:hAnsi="Arial" w:cs="Arial"/>
          <w:i w:val="0"/>
        </w:rPr>
      </w:pPr>
      <w:bookmarkStart w:id="16" w:name="_Toc172785202"/>
      <w:r w:rsidRPr="00BF52C7">
        <w:rPr>
          <w:rFonts w:ascii="Arial" w:hAnsi="Arial" w:cs="Arial"/>
          <w:i w:val="0"/>
        </w:rPr>
        <w:t>IZVJEŠTAJ O ZADUŽIVANJU NA DOMAĆEM I STRANOM TRŽIŠTU NOVCA I KAPITALA</w:t>
      </w:r>
      <w:bookmarkEnd w:id="16"/>
    </w:p>
    <w:p w14:paraId="0F32DA66" w14:textId="77777777" w:rsidR="00D72D5B" w:rsidRPr="00BF52C7" w:rsidRDefault="00D72D5B" w:rsidP="00D72D5B">
      <w:pPr>
        <w:spacing w:line="360" w:lineRule="auto"/>
        <w:jc w:val="both"/>
        <w:rPr>
          <w:rFonts w:ascii="Arial" w:hAnsi="Arial" w:cs="Arial"/>
          <w:b/>
          <w:lang w:eastAsia="hr-HR"/>
        </w:rPr>
      </w:pPr>
    </w:p>
    <w:p w14:paraId="2CF129D0" w14:textId="77777777" w:rsidR="00D72D5B" w:rsidRDefault="00D72D5B" w:rsidP="00D72D5B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lang w:eastAsia="hr-HR"/>
        </w:rPr>
      </w:pPr>
      <w:r w:rsidRPr="00A1713D">
        <w:rPr>
          <w:rFonts w:ascii="Arial" w:hAnsi="Arial" w:cs="Arial"/>
          <w:lang w:eastAsia="hr-HR"/>
        </w:rPr>
        <w:t xml:space="preserve">Dom zdravlja Varaždinske županije </w:t>
      </w:r>
      <w:r>
        <w:rPr>
          <w:rFonts w:ascii="Arial" w:hAnsi="Arial" w:cs="Arial"/>
          <w:lang w:eastAsia="hr-HR"/>
        </w:rPr>
        <w:t xml:space="preserve">od 2020. godine </w:t>
      </w:r>
      <w:r w:rsidRPr="00A1713D">
        <w:rPr>
          <w:rFonts w:ascii="Arial" w:hAnsi="Arial" w:cs="Arial"/>
          <w:lang w:eastAsia="hr-HR"/>
        </w:rPr>
        <w:t>ima zaduženje po dugoročnom kreditu Zagrebačke banke d.d. za energetsku obnovu objekata u Lepoglavi, Novom Marofu i Varaždinskim Toplicama</w:t>
      </w:r>
      <w:r>
        <w:rPr>
          <w:rFonts w:ascii="Arial" w:hAnsi="Arial" w:cs="Arial"/>
          <w:lang w:eastAsia="hr-HR"/>
        </w:rPr>
        <w:t>:</w:t>
      </w:r>
    </w:p>
    <w:p w14:paraId="3ADDD13A" w14:textId="77777777" w:rsidR="00D72D5B" w:rsidRDefault="00D72D5B" w:rsidP="00D72D5B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- Iznos kredita: 345.079,30 eura</w:t>
      </w:r>
    </w:p>
    <w:p w14:paraId="6AB06E8B" w14:textId="77777777" w:rsidR="00D72D5B" w:rsidRDefault="00D72D5B" w:rsidP="00D72D5B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- Ugovorena kamata: 1,5% fiksna</w:t>
      </w:r>
    </w:p>
    <w:p w14:paraId="0D8DA77C" w14:textId="77777777" w:rsidR="00D72D5B" w:rsidRDefault="00D72D5B" w:rsidP="00D72D5B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- Rok otplate: 10 godina</w:t>
      </w:r>
    </w:p>
    <w:p w14:paraId="0E5F037C" w14:textId="77777777" w:rsidR="00D72D5B" w:rsidRDefault="00D72D5B" w:rsidP="00D72D5B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- Poček : 1 godina</w:t>
      </w:r>
    </w:p>
    <w:p w14:paraId="6E1571CD" w14:textId="77777777" w:rsidR="00D72D5B" w:rsidRDefault="00D72D5B" w:rsidP="00D72D5B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- Datum dospijeća kredita: 31.01.2032. godine</w:t>
      </w:r>
    </w:p>
    <w:p w14:paraId="47BBC9CC" w14:textId="77777777" w:rsidR="00D72D5B" w:rsidRDefault="00D72D5B" w:rsidP="00D72D5B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lang w:eastAsia="hr-HR"/>
        </w:rPr>
      </w:pPr>
      <w:r>
        <w:rPr>
          <w:rFonts w:ascii="Arial" w:hAnsi="Arial" w:cs="Arial"/>
          <w:lang w:eastAsia="hr-HR"/>
        </w:rPr>
        <w:t>- Otplatni obrok: 2.875,66 eura.</w:t>
      </w:r>
    </w:p>
    <w:p w14:paraId="0A39688F" w14:textId="72208034" w:rsidR="00D72D5B" w:rsidRDefault="00D72D5B" w:rsidP="00D72D5B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lang w:eastAsia="hr-HR"/>
        </w:rPr>
      </w:pPr>
      <w:r>
        <w:rPr>
          <w:rFonts w:ascii="Arial" w:hAnsi="Arial" w:cs="Arial"/>
          <w:lang w:eastAsia="hr-HR"/>
        </w:rPr>
        <w:t>Otplata kredita započela je u veljači 2022. godine. Na dan 01.01.202</w:t>
      </w:r>
      <w:r w:rsidR="001B2419">
        <w:rPr>
          <w:rFonts w:ascii="Arial" w:hAnsi="Arial" w:cs="Arial"/>
          <w:lang w:eastAsia="hr-HR"/>
        </w:rPr>
        <w:t>4</w:t>
      </w:r>
      <w:r>
        <w:rPr>
          <w:rFonts w:ascii="Arial" w:hAnsi="Arial" w:cs="Arial"/>
          <w:lang w:eastAsia="hr-HR"/>
        </w:rPr>
        <w:t xml:space="preserve">. godine stanje kredita iznosi </w:t>
      </w:r>
      <w:r w:rsidR="001B2419">
        <w:rPr>
          <w:rFonts w:ascii="Arial" w:hAnsi="Arial" w:cs="Arial"/>
          <w:lang w:eastAsia="hr-HR"/>
        </w:rPr>
        <w:t>281</w:t>
      </w:r>
      <w:r>
        <w:rPr>
          <w:rFonts w:ascii="Arial" w:hAnsi="Arial" w:cs="Arial"/>
          <w:lang w:eastAsia="hr-HR"/>
        </w:rPr>
        <w:t>.</w:t>
      </w:r>
      <w:r w:rsidR="001B2419">
        <w:rPr>
          <w:rFonts w:ascii="Arial" w:hAnsi="Arial" w:cs="Arial"/>
          <w:lang w:eastAsia="hr-HR"/>
        </w:rPr>
        <w:t>814</w:t>
      </w:r>
      <w:r>
        <w:rPr>
          <w:rFonts w:ascii="Arial" w:hAnsi="Arial" w:cs="Arial"/>
          <w:lang w:eastAsia="hr-HR"/>
        </w:rPr>
        <w:t>,</w:t>
      </w:r>
      <w:r w:rsidR="001B2419">
        <w:rPr>
          <w:rFonts w:ascii="Arial" w:hAnsi="Arial" w:cs="Arial"/>
          <w:lang w:eastAsia="hr-HR"/>
        </w:rPr>
        <w:t>77</w:t>
      </w:r>
      <w:r>
        <w:rPr>
          <w:rFonts w:ascii="Arial" w:hAnsi="Arial" w:cs="Arial"/>
          <w:lang w:eastAsia="hr-HR"/>
        </w:rPr>
        <w:t xml:space="preserve"> eura. U 202</w:t>
      </w:r>
      <w:r w:rsidR="001B2419">
        <w:rPr>
          <w:rFonts w:ascii="Arial" w:hAnsi="Arial" w:cs="Arial"/>
          <w:lang w:eastAsia="hr-HR"/>
        </w:rPr>
        <w:t>4</w:t>
      </w:r>
      <w:r>
        <w:rPr>
          <w:rFonts w:ascii="Arial" w:hAnsi="Arial" w:cs="Arial"/>
          <w:lang w:eastAsia="hr-HR"/>
        </w:rPr>
        <w:t xml:space="preserve">. godini otplaćena je glavnica u iznosu od </w:t>
      </w:r>
      <w:r w:rsidR="001B2419">
        <w:rPr>
          <w:rFonts w:ascii="Arial" w:hAnsi="Arial" w:cs="Arial"/>
          <w:lang w:eastAsia="hr-HR"/>
        </w:rPr>
        <w:t>17.253,96</w:t>
      </w:r>
      <w:r>
        <w:rPr>
          <w:rFonts w:ascii="Arial" w:hAnsi="Arial" w:cs="Arial"/>
          <w:lang w:eastAsia="hr-HR"/>
        </w:rPr>
        <w:t xml:space="preserve"> eura, te stanje po kreditu na dan 3</w:t>
      </w:r>
      <w:r w:rsidR="001B2419">
        <w:rPr>
          <w:rFonts w:ascii="Arial" w:hAnsi="Arial" w:cs="Arial"/>
          <w:lang w:eastAsia="hr-HR"/>
        </w:rPr>
        <w:t>0</w:t>
      </w:r>
      <w:r>
        <w:rPr>
          <w:rFonts w:ascii="Arial" w:hAnsi="Arial" w:cs="Arial"/>
          <w:lang w:eastAsia="hr-HR"/>
        </w:rPr>
        <w:t>.</w:t>
      </w:r>
      <w:r w:rsidR="001B2419">
        <w:rPr>
          <w:rFonts w:ascii="Arial" w:hAnsi="Arial" w:cs="Arial"/>
          <w:lang w:eastAsia="hr-HR"/>
        </w:rPr>
        <w:t>06</w:t>
      </w:r>
      <w:r>
        <w:rPr>
          <w:rFonts w:ascii="Arial" w:hAnsi="Arial" w:cs="Arial"/>
          <w:lang w:eastAsia="hr-HR"/>
        </w:rPr>
        <w:t>.202</w:t>
      </w:r>
      <w:r w:rsidR="001B2419">
        <w:rPr>
          <w:rFonts w:ascii="Arial" w:hAnsi="Arial" w:cs="Arial"/>
          <w:lang w:eastAsia="hr-HR"/>
        </w:rPr>
        <w:t>4</w:t>
      </w:r>
      <w:r>
        <w:rPr>
          <w:rFonts w:ascii="Arial" w:hAnsi="Arial" w:cs="Arial"/>
          <w:lang w:eastAsia="hr-HR"/>
        </w:rPr>
        <w:t>. godine iznosi 2</w:t>
      </w:r>
      <w:r w:rsidR="001B2419">
        <w:rPr>
          <w:rFonts w:ascii="Arial" w:hAnsi="Arial" w:cs="Arial"/>
          <w:lang w:eastAsia="hr-HR"/>
        </w:rPr>
        <w:t>64</w:t>
      </w:r>
      <w:r>
        <w:rPr>
          <w:rFonts w:ascii="Arial" w:hAnsi="Arial" w:cs="Arial"/>
          <w:lang w:eastAsia="hr-HR"/>
        </w:rPr>
        <w:t>.</w:t>
      </w:r>
      <w:r w:rsidR="001B2419">
        <w:rPr>
          <w:rFonts w:ascii="Arial" w:hAnsi="Arial" w:cs="Arial"/>
          <w:lang w:eastAsia="hr-HR"/>
        </w:rPr>
        <w:t>560,81</w:t>
      </w:r>
      <w:r>
        <w:rPr>
          <w:rFonts w:ascii="Arial" w:hAnsi="Arial" w:cs="Arial"/>
          <w:lang w:eastAsia="hr-HR"/>
        </w:rPr>
        <w:t xml:space="preserve"> eura. </w:t>
      </w:r>
      <w:r>
        <w:rPr>
          <w:rFonts w:ascii="Arial" w:hAnsi="Arial" w:cs="Arial"/>
          <w:bCs/>
          <w:lang w:eastAsia="hr-HR"/>
        </w:rPr>
        <w:t>U 202</w:t>
      </w:r>
      <w:r w:rsidR="001B2419">
        <w:rPr>
          <w:rFonts w:ascii="Arial" w:hAnsi="Arial" w:cs="Arial"/>
          <w:bCs/>
          <w:lang w:eastAsia="hr-HR"/>
        </w:rPr>
        <w:t>4</w:t>
      </w:r>
      <w:r>
        <w:rPr>
          <w:rFonts w:ascii="Arial" w:hAnsi="Arial" w:cs="Arial"/>
          <w:bCs/>
          <w:lang w:eastAsia="hr-HR"/>
        </w:rPr>
        <w:t>. godini nije bilo novih zaduživanja na domaćem i stranom tržištu novca i kapitala.</w:t>
      </w:r>
    </w:p>
    <w:p w14:paraId="14D03EF8" w14:textId="77777777" w:rsidR="00334600" w:rsidRDefault="00334600" w:rsidP="00D72D5B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lang w:eastAsia="hr-HR"/>
        </w:rPr>
      </w:pPr>
    </w:p>
    <w:p w14:paraId="03017318" w14:textId="6EE6C83D" w:rsidR="00334600" w:rsidRDefault="00334600" w:rsidP="00D72D5B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lang w:eastAsia="hr-HR"/>
        </w:rPr>
      </w:pPr>
    </w:p>
    <w:sectPr w:rsidR="00334600" w:rsidSect="00291A5A">
      <w:footerReference w:type="first" r:id="rId13"/>
      <w:pgSz w:w="11906" w:h="16838" w:code="9"/>
      <w:pgMar w:top="1276" w:right="1418" w:bottom="1418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0079C" w14:textId="77777777" w:rsidR="009837DF" w:rsidRDefault="009837DF">
      <w:r>
        <w:separator/>
      </w:r>
    </w:p>
  </w:endnote>
  <w:endnote w:type="continuationSeparator" w:id="0">
    <w:p w14:paraId="5BDE4EC1" w14:textId="77777777" w:rsidR="009837DF" w:rsidRDefault="0098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RO_Swiss-Norm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BE8D3" w14:textId="77777777" w:rsidR="00611513" w:rsidRDefault="00000000">
    <w:pPr>
      <w:pStyle w:val="Podnoj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77FADFB" w14:textId="77777777" w:rsidR="00611513" w:rsidRDefault="0061151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18AD0" w14:textId="77777777" w:rsidR="00611513" w:rsidRPr="006C64EC" w:rsidRDefault="00611513">
    <w:pPr>
      <w:pStyle w:val="Podnoje"/>
      <w:jc w:val="center"/>
      <w:rPr>
        <w:sz w:val="20"/>
        <w:szCs w:val="20"/>
      </w:rPr>
    </w:pPr>
  </w:p>
  <w:p w14:paraId="0B470BFB" w14:textId="77777777" w:rsidR="00611513" w:rsidRPr="008F459A" w:rsidRDefault="00611513" w:rsidP="008F459A">
    <w:pPr>
      <w:pStyle w:val="Podnoje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723C2" w14:textId="77777777" w:rsidR="00611513" w:rsidRDefault="00000000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C23CE66" w14:textId="77777777" w:rsidR="00611513" w:rsidRDefault="00611513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F2B57" w14:textId="77777777" w:rsidR="00611513" w:rsidRDefault="00611513">
    <w:pPr>
      <w:pStyle w:val="Podnoje"/>
      <w:jc w:val="center"/>
    </w:pPr>
  </w:p>
  <w:p w14:paraId="072EAC8F" w14:textId="77777777" w:rsidR="00611513" w:rsidRPr="008F459A" w:rsidRDefault="00611513" w:rsidP="008F459A">
    <w:pPr>
      <w:pStyle w:val="Podnoje"/>
      <w:jc w:val="center"/>
      <w:rPr>
        <w:sz w:val="20"/>
        <w:szCs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C78CD" w14:textId="77777777" w:rsidR="00611513" w:rsidRDefault="00000000">
    <w:pPr>
      <w:pStyle w:val="Podnoje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7C353AC" w14:textId="77777777" w:rsidR="00611513" w:rsidRPr="008F459A" w:rsidRDefault="00611513" w:rsidP="008F459A">
    <w:pPr>
      <w:pStyle w:val="Podnoje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51518" w14:textId="77777777" w:rsidR="009837DF" w:rsidRDefault="009837DF">
      <w:r>
        <w:separator/>
      </w:r>
    </w:p>
  </w:footnote>
  <w:footnote w:type="continuationSeparator" w:id="0">
    <w:p w14:paraId="5B52AF6A" w14:textId="77777777" w:rsidR="009837DF" w:rsidRDefault="00983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6B4C66"/>
    <w:multiLevelType w:val="hybridMultilevel"/>
    <w:tmpl w:val="79A2CC8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1844791"/>
    <w:multiLevelType w:val="hybridMultilevel"/>
    <w:tmpl w:val="859A0724"/>
    <w:lvl w:ilvl="0" w:tplc="FC34E8DA">
      <w:start w:val="17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E56DBD"/>
    <w:multiLevelType w:val="hybridMultilevel"/>
    <w:tmpl w:val="17F80032"/>
    <w:lvl w:ilvl="0" w:tplc="F0020A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64A96FC">
      <w:numFmt w:val="none"/>
      <w:lvlText w:val=""/>
      <w:lvlJc w:val="left"/>
      <w:pPr>
        <w:tabs>
          <w:tab w:val="num" w:pos="360"/>
        </w:tabs>
      </w:pPr>
    </w:lvl>
    <w:lvl w:ilvl="2" w:tplc="DBF628A0">
      <w:numFmt w:val="none"/>
      <w:lvlText w:val=""/>
      <w:lvlJc w:val="left"/>
      <w:pPr>
        <w:tabs>
          <w:tab w:val="num" w:pos="360"/>
        </w:tabs>
      </w:pPr>
    </w:lvl>
    <w:lvl w:ilvl="3" w:tplc="F6C0A9A8">
      <w:numFmt w:val="none"/>
      <w:lvlText w:val=""/>
      <w:lvlJc w:val="left"/>
      <w:pPr>
        <w:tabs>
          <w:tab w:val="num" w:pos="360"/>
        </w:tabs>
      </w:pPr>
    </w:lvl>
    <w:lvl w:ilvl="4" w:tplc="226E3F14">
      <w:numFmt w:val="none"/>
      <w:lvlText w:val=""/>
      <w:lvlJc w:val="left"/>
      <w:pPr>
        <w:tabs>
          <w:tab w:val="num" w:pos="360"/>
        </w:tabs>
      </w:pPr>
    </w:lvl>
    <w:lvl w:ilvl="5" w:tplc="37ECCA8E">
      <w:numFmt w:val="none"/>
      <w:lvlText w:val=""/>
      <w:lvlJc w:val="left"/>
      <w:pPr>
        <w:tabs>
          <w:tab w:val="num" w:pos="360"/>
        </w:tabs>
      </w:pPr>
    </w:lvl>
    <w:lvl w:ilvl="6" w:tplc="63F87DDA">
      <w:numFmt w:val="none"/>
      <w:lvlText w:val=""/>
      <w:lvlJc w:val="left"/>
      <w:pPr>
        <w:tabs>
          <w:tab w:val="num" w:pos="360"/>
        </w:tabs>
      </w:pPr>
    </w:lvl>
    <w:lvl w:ilvl="7" w:tplc="7F44EF2C">
      <w:numFmt w:val="none"/>
      <w:lvlText w:val=""/>
      <w:lvlJc w:val="left"/>
      <w:pPr>
        <w:tabs>
          <w:tab w:val="num" w:pos="360"/>
        </w:tabs>
      </w:pPr>
    </w:lvl>
    <w:lvl w:ilvl="8" w:tplc="0772F4E2">
      <w:numFmt w:val="none"/>
      <w:lvlText w:val=""/>
      <w:lvlJc w:val="left"/>
      <w:pPr>
        <w:tabs>
          <w:tab w:val="num" w:pos="360"/>
        </w:tabs>
      </w:pPr>
    </w:lvl>
  </w:abstractNum>
  <w:num w:numId="1" w16cid:durableId="1372195101">
    <w:abstractNumId w:val="2"/>
  </w:num>
  <w:num w:numId="2" w16cid:durableId="83763723">
    <w:abstractNumId w:val="0"/>
  </w:num>
  <w:num w:numId="3" w16cid:durableId="1106460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D5B"/>
    <w:rsid w:val="00014C2C"/>
    <w:rsid w:val="000324B1"/>
    <w:rsid w:val="000B1DE5"/>
    <w:rsid w:val="001162C6"/>
    <w:rsid w:val="00126F6D"/>
    <w:rsid w:val="001433A8"/>
    <w:rsid w:val="00152D1E"/>
    <w:rsid w:val="001B2419"/>
    <w:rsid w:val="001C698F"/>
    <w:rsid w:val="001F0713"/>
    <w:rsid w:val="00212B85"/>
    <w:rsid w:val="00222AED"/>
    <w:rsid w:val="00244BA3"/>
    <w:rsid w:val="002517FD"/>
    <w:rsid w:val="00290B9E"/>
    <w:rsid w:val="00291A5A"/>
    <w:rsid w:val="002D2014"/>
    <w:rsid w:val="002E4BAF"/>
    <w:rsid w:val="002E7F7F"/>
    <w:rsid w:val="00316016"/>
    <w:rsid w:val="00334600"/>
    <w:rsid w:val="00346946"/>
    <w:rsid w:val="003948FA"/>
    <w:rsid w:val="003B0D44"/>
    <w:rsid w:val="00530BFE"/>
    <w:rsid w:val="005577D4"/>
    <w:rsid w:val="005F1D98"/>
    <w:rsid w:val="00611513"/>
    <w:rsid w:val="0062277F"/>
    <w:rsid w:val="0066372C"/>
    <w:rsid w:val="006B0594"/>
    <w:rsid w:val="006E43CE"/>
    <w:rsid w:val="00726EBF"/>
    <w:rsid w:val="00744DDE"/>
    <w:rsid w:val="007549FC"/>
    <w:rsid w:val="007B5F9A"/>
    <w:rsid w:val="00801D9A"/>
    <w:rsid w:val="0081156F"/>
    <w:rsid w:val="00833390"/>
    <w:rsid w:val="00836CC1"/>
    <w:rsid w:val="00844355"/>
    <w:rsid w:val="00860680"/>
    <w:rsid w:val="00863859"/>
    <w:rsid w:val="00875A30"/>
    <w:rsid w:val="00887636"/>
    <w:rsid w:val="0089476B"/>
    <w:rsid w:val="008C753C"/>
    <w:rsid w:val="008E7FFE"/>
    <w:rsid w:val="009005DB"/>
    <w:rsid w:val="00960334"/>
    <w:rsid w:val="0097264C"/>
    <w:rsid w:val="009837DF"/>
    <w:rsid w:val="009928E7"/>
    <w:rsid w:val="009957EC"/>
    <w:rsid w:val="009C36F4"/>
    <w:rsid w:val="00A16678"/>
    <w:rsid w:val="00A37EF9"/>
    <w:rsid w:val="00A93792"/>
    <w:rsid w:val="00AE478A"/>
    <w:rsid w:val="00B06D6B"/>
    <w:rsid w:val="00B12A0A"/>
    <w:rsid w:val="00B45B57"/>
    <w:rsid w:val="00B5544F"/>
    <w:rsid w:val="00BF3112"/>
    <w:rsid w:val="00C876DA"/>
    <w:rsid w:val="00CB3D91"/>
    <w:rsid w:val="00D12DDD"/>
    <w:rsid w:val="00D65160"/>
    <w:rsid w:val="00D72D5B"/>
    <w:rsid w:val="00D903B4"/>
    <w:rsid w:val="00DA57BE"/>
    <w:rsid w:val="00DF6C2E"/>
    <w:rsid w:val="00E03118"/>
    <w:rsid w:val="00E07C1F"/>
    <w:rsid w:val="00E3607F"/>
    <w:rsid w:val="00E45A03"/>
    <w:rsid w:val="00E529D2"/>
    <w:rsid w:val="00E53EAC"/>
    <w:rsid w:val="00E5691C"/>
    <w:rsid w:val="00F330A1"/>
    <w:rsid w:val="00F80B53"/>
    <w:rsid w:val="00F8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55303"/>
  <w15:chartTrackingRefBased/>
  <w15:docId w15:val="{3BFEF969-4B83-4B05-A155-CE0E5E01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D5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ormal"/>
    <w:next w:val="Normal"/>
    <w:link w:val="Naslov1Char"/>
    <w:qFormat/>
    <w:rsid w:val="00D72D5B"/>
    <w:pPr>
      <w:keepNext/>
      <w:autoSpaceDE w:val="0"/>
      <w:autoSpaceDN w:val="0"/>
      <w:adjustRightInd w:val="0"/>
      <w:outlineLvl w:val="0"/>
    </w:pPr>
    <w:rPr>
      <w:rFonts w:ascii="CRO_Swiss-Normal" w:hAnsi="CRO_Swiss-Normal"/>
      <w:b/>
      <w:bCs/>
      <w:i/>
      <w:iCs/>
      <w:color w:val="000000"/>
      <w:sz w:val="28"/>
      <w:szCs w:val="28"/>
      <w:lang w:eastAsia="hr-HR"/>
    </w:rPr>
  </w:style>
  <w:style w:type="paragraph" w:styleId="Naslov2">
    <w:name w:val="heading 2"/>
    <w:basedOn w:val="Normal"/>
    <w:next w:val="Normal"/>
    <w:link w:val="Naslov2Char"/>
    <w:qFormat/>
    <w:rsid w:val="00D72D5B"/>
    <w:pPr>
      <w:keepNext/>
      <w:autoSpaceDE w:val="0"/>
      <w:autoSpaceDN w:val="0"/>
      <w:adjustRightInd w:val="0"/>
      <w:outlineLvl w:val="1"/>
    </w:pPr>
    <w:rPr>
      <w:b/>
      <w:bCs/>
      <w:color w:val="000000"/>
      <w:sz w:val="16"/>
      <w:szCs w:val="16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72D5B"/>
    <w:rPr>
      <w:rFonts w:ascii="CRO_Swiss-Normal" w:eastAsia="Times New Roman" w:hAnsi="CRO_Swiss-Normal" w:cs="Times New Roman"/>
      <w:b/>
      <w:bCs/>
      <w:i/>
      <w:iCs/>
      <w:color w:val="000000"/>
      <w:kern w:val="0"/>
      <w:sz w:val="28"/>
      <w:szCs w:val="28"/>
      <w:lang w:eastAsia="hr-HR"/>
      <w14:ligatures w14:val="none"/>
    </w:rPr>
  </w:style>
  <w:style w:type="character" w:customStyle="1" w:styleId="Naslov2Char">
    <w:name w:val="Naslov 2 Char"/>
    <w:basedOn w:val="Zadanifontodlomka"/>
    <w:link w:val="Naslov2"/>
    <w:rsid w:val="00D72D5B"/>
    <w:rPr>
      <w:rFonts w:ascii="Times New Roman" w:eastAsia="Times New Roman" w:hAnsi="Times New Roman" w:cs="Times New Roman"/>
      <w:b/>
      <w:bCs/>
      <w:color w:val="000000"/>
      <w:kern w:val="0"/>
      <w:sz w:val="16"/>
      <w:szCs w:val="16"/>
      <w:lang w:val="en-US"/>
      <w14:ligatures w14:val="none"/>
    </w:rPr>
  </w:style>
  <w:style w:type="paragraph" w:styleId="Zaglavlje">
    <w:name w:val="header"/>
    <w:basedOn w:val="Normal"/>
    <w:link w:val="ZaglavljeChar"/>
    <w:uiPriority w:val="99"/>
    <w:rsid w:val="00D72D5B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D72D5B"/>
    <w:rPr>
      <w:rFonts w:ascii="Times New Roman" w:eastAsia="Times New Roman" w:hAnsi="Times New Roman" w:cs="Times New Roman"/>
      <w:kern w:val="0"/>
      <w:sz w:val="20"/>
      <w:szCs w:val="20"/>
      <w:lang w:val="en-US" w:eastAsia="hr-HR"/>
      <w14:ligatures w14:val="none"/>
    </w:rPr>
  </w:style>
  <w:style w:type="paragraph" w:styleId="Tijeloteksta">
    <w:name w:val="Body Text"/>
    <w:basedOn w:val="Normal"/>
    <w:link w:val="TijelotekstaChar"/>
    <w:rsid w:val="00D72D5B"/>
    <w:rPr>
      <w:rFonts w:ascii="CRO_Swiss-Normal" w:hAnsi="CRO_Swiss-Normal"/>
      <w:iCs/>
      <w:szCs w:val="20"/>
      <w:lang w:val="en-AU" w:eastAsia="hr-HR"/>
    </w:rPr>
  </w:style>
  <w:style w:type="character" w:customStyle="1" w:styleId="TijelotekstaChar">
    <w:name w:val="Tijelo teksta Char"/>
    <w:basedOn w:val="Zadanifontodlomka"/>
    <w:link w:val="Tijeloteksta"/>
    <w:rsid w:val="00D72D5B"/>
    <w:rPr>
      <w:rFonts w:ascii="CRO_Swiss-Normal" w:eastAsia="Times New Roman" w:hAnsi="CRO_Swiss-Normal" w:cs="Times New Roman"/>
      <w:iCs/>
      <w:kern w:val="0"/>
      <w:sz w:val="24"/>
      <w:szCs w:val="20"/>
      <w:lang w:val="en-AU" w:eastAsia="hr-HR"/>
      <w14:ligatures w14:val="none"/>
    </w:rPr>
  </w:style>
  <w:style w:type="paragraph" w:styleId="Opisslike">
    <w:name w:val="caption"/>
    <w:basedOn w:val="Normal"/>
    <w:next w:val="Normal"/>
    <w:qFormat/>
    <w:rsid w:val="00D72D5B"/>
    <w:pPr>
      <w:jc w:val="center"/>
    </w:pPr>
    <w:rPr>
      <w:rFonts w:ascii="CRO_Swiss-Normal" w:hAnsi="CRO_Swiss-Normal"/>
      <w:b/>
    </w:rPr>
  </w:style>
  <w:style w:type="paragraph" w:styleId="Podnoje">
    <w:name w:val="footer"/>
    <w:basedOn w:val="Normal"/>
    <w:link w:val="PodnojeChar"/>
    <w:uiPriority w:val="99"/>
    <w:rsid w:val="00D72D5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72D5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Sadraj1">
    <w:name w:val="toc 1"/>
    <w:basedOn w:val="Normal"/>
    <w:next w:val="Normal"/>
    <w:autoRedefine/>
    <w:uiPriority w:val="39"/>
    <w:rsid w:val="00D72D5B"/>
    <w:pPr>
      <w:tabs>
        <w:tab w:val="left" w:pos="480"/>
        <w:tab w:val="right" w:leader="dot" w:pos="9060"/>
      </w:tabs>
      <w:spacing w:before="240" w:after="120"/>
      <w:ind w:left="482" w:hanging="482"/>
    </w:pPr>
    <w:rPr>
      <w:b/>
      <w:bCs/>
      <w:caps/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rsid w:val="00D72D5B"/>
    <w:pPr>
      <w:tabs>
        <w:tab w:val="left" w:pos="720"/>
        <w:tab w:val="right" w:leader="dot" w:pos="9060"/>
      </w:tabs>
      <w:spacing w:after="120"/>
      <w:ind w:left="936" w:hanging="482"/>
    </w:pPr>
    <w:rPr>
      <w:smallCaps/>
      <w:sz w:val="20"/>
      <w:szCs w:val="20"/>
    </w:rPr>
  </w:style>
  <w:style w:type="character" w:styleId="Hiperveza">
    <w:name w:val="Hyperlink"/>
    <w:uiPriority w:val="99"/>
    <w:rsid w:val="00D72D5B"/>
    <w:rPr>
      <w:color w:val="0000FF"/>
      <w:u w:val="single"/>
    </w:rPr>
  </w:style>
  <w:style w:type="paragraph" w:styleId="Uvuenotijeloteksta">
    <w:name w:val="Body Text Indent"/>
    <w:basedOn w:val="Normal"/>
    <w:link w:val="UvuenotijelotekstaChar"/>
    <w:rsid w:val="00D72D5B"/>
    <w:pPr>
      <w:spacing w:after="120"/>
      <w:ind w:left="283"/>
    </w:pPr>
    <w:rPr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D72D5B"/>
    <w:rPr>
      <w:rFonts w:ascii="Times New Roman" w:eastAsia="Times New Roman" w:hAnsi="Times New Roman" w:cs="Times New Roman"/>
      <w:kern w:val="0"/>
      <w:sz w:val="24"/>
      <w:szCs w:val="20"/>
      <w:lang w:eastAsia="hr-HR"/>
      <w14:ligatures w14:val="none"/>
    </w:rPr>
  </w:style>
  <w:style w:type="paragraph" w:customStyle="1" w:styleId="Default">
    <w:name w:val="Default"/>
    <w:rsid w:val="00D72D5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2D2014"/>
    <w:pPr>
      <w:ind w:left="720"/>
      <w:contextualSpacing/>
    </w:pPr>
  </w:style>
  <w:style w:type="table" w:styleId="Reetkatablice">
    <w:name w:val="Table Grid"/>
    <w:basedOn w:val="Obinatablica"/>
    <w:uiPriority w:val="39"/>
    <w:rsid w:val="00316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9928E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928E7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928E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928E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928E7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Tijeloteksta2">
    <w:name w:val="Body Text 2"/>
    <w:basedOn w:val="Normal"/>
    <w:link w:val="Tijeloteksta2Char"/>
    <w:uiPriority w:val="99"/>
    <w:unhideWhenUsed/>
    <w:rsid w:val="000324B1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uiPriority w:val="99"/>
    <w:rsid w:val="000324B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0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8AF5D-F3DE-4622-8703-644EC2713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11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Brlek</dc:creator>
  <cp:keywords/>
  <dc:description/>
  <cp:lastModifiedBy>Marijana Rogina</cp:lastModifiedBy>
  <cp:revision>21</cp:revision>
  <cp:lastPrinted>2024-04-12T08:48:00Z</cp:lastPrinted>
  <dcterms:created xsi:type="dcterms:W3CDTF">2024-04-04T06:24:00Z</dcterms:created>
  <dcterms:modified xsi:type="dcterms:W3CDTF">2024-07-25T05:33:00Z</dcterms:modified>
</cp:coreProperties>
</file>