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7FF7CD2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1A79E3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349EDED3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8B1473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A2B0A"/>
    <w:rsid w:val="001A79E3"/>
    <w:rsid w:val="001F217F"/>
    <w:rsid w:val="00700933"/>
    <w:rsid w:val="008B1473"/>
    <w:rsid w:val="00F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2025-07-09T05:55:00Z</dcterms:modified>
</cp:coreProperties>
</file>